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41602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16027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416027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2580E">
        <w:rPr>
          <w:rFonts w:ascii="Arial" w:hAnsi="Arial" w:cs="Arial"/>
          <w:b w:val="0"/>
          <w:sz w:val="22"/>
          <w:szCs w:val="22"/>
        </w:rPr>
        <w:t>28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2580E" w:rsidRPr="0082580E">
        <w:rPr>
          <w:rFonts w:ascii="Arial" w:hAnsi="Arial" w:cs="Arial"/>
          <w:u w:val="single"/>
        </w:rPr>
        <w:t>Przetargu nieograniczonego nr 8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776CC6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82580E">
        <w:rPr>
          <w:rFonts w:ascii="Arial" w:hAnsi="Arial" w:cs="Arial"/>
          <w:sz w:val="22"/>
          <w:szCs w:val="22"/>
        </w:rPr>
        <w:t>5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82580E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CA1D7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82580E" w:rsidRPr="00CA1D71" w:rsidRDefault="00C53EE7" w:rsidP="0082580E">
      <w:pPr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1. </w:t>
      </w:r>
      <w:r w:rsidR="0082580E"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31,  pozycja 75</w:t>
      </w:r>
    </w:p>
    <w:p w:rsidR="0082580E" w:rsidRPr="00CA1D71" w:rsidRDefault="0082580E" w:rsidP="0082580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sz w:val="22"/>
          <w:szCs w:val="22"/>
          <w:lang w:eastAsia="en-US"/>
        </w:rPr>
        <w:t>Czy zamawiający dopuści produkt Praxi-Flow™ 0,9 NaCl x 10ml do płukania dostępu naczyniowego i CitraFlow 4% x 3ml (objętość 5ml) stosowany w celu utrzymania prawidłowej drożności dostępu naczyniowego o najwyższej czystości chemicznej brak działań niepożądanych zapewnia skuteczne i bezpieczne rozwiązanie przeciwzakrzepowe oraz przeciwbakteryjne potwierdzone klinicznie. Opakowanie zawiera dwie ampułko-strzykawki Citra-Flow™ I Praxiject™ w ilości 75 sztuk z przeliczeniem zamawianej ilości?</w:t>
      </w:r>
    </w:p>
    <w:p w:rsidR="0082580E" w:rsidRPr="00CA1D71" w:rsidRDefault="0082580E" w:rsidP="0082580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wydzielenie pozycji 75 z zadania 31 i stworzy osobny pakiet?</w:t>
      </w:r>
    </w:p>
    <w:p w:rsidR="0082580E" w:rsidRPr="00CA1D71" w:rsidRDefault="0082580E" w:rsidP="0082580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</w:t>
      </w:r>
      <w:r w:rsidR="003E228E" w:rsidRPr="00CA1D71">
        <w:rPr>
          <w:rFonts w:ascii="Arial" w:hAnsi="Arial" w:cs="Arial"/>
          <w:b/>
          <w:bCs/>
          <w:sz w:val="22"/>
          <w:szCs w:val="22"/>
        </w:rPr>
        <w:t xml:space="preserve"> Dopuszczamy, nie wydzielamy pozycji z pakietu.</w:t>
      </w:r>
    </w:p>
    <w:p w:rsidR="001262C0" w:rsidRPr="00CA1D71" w:rsidRDefault="001262C0" w:rsidP="0082580E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:rsidR="0082580E" w:rsidRPr="00CA1D71" w:rsidRDefault="0082580E" w:rsidP="0082580E">
      <w:pPr>
        <w:suppressAutoHyphens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2.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31,  pozycja 75</w:t>
      </w:r>
    </w:p>
    <w:p w:rsidR="0082580E" w:rsidRPr="00CA1D71" w:rsidRDefault="0082580E" w:rsidP="0082580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 </w:t>
      </w:r>
      <w:r w:rsidRPr="00CA1D71">
        <w:rPr>
          <w:rFonts w:ascii="Arial" w:hAnsi="Arial" w:cs="Arial"/>
          <w:sz w:val="22"/>
          <w:szCs w:val="22"/>
          <w:lang w:eastAsia="en-US"/>
        </w:rPr>
        <w:t>Czy zamawiający dopuści produkt Citra-Flow™ ( cytrynian sodu ) w stężeniu 4% w postaci ampułko-strzykawki x 3ml (objętość 10ml) zgodna z Rekomendacją obsługi portu dożylnego stosowany w celu utrzymania prawidłowej drożności dostępu naczyniowego o najwyższej czystości chemicznej brak działań niepożądanych do przepłukiwania dostępu naczyniowego zapewnia skuteczne i bezpieczne rozwiązanie przeciwzakrzepowe oraz przeciwbakteryjne potwierdzone klinicznie. Nr kat.: 38553. Opakowanie zawiera pojedyńczo pakowane ampułko-strzykawki w ilości 100 sztuk z przeliczeniem zamawianej ilości?</w:t>
      </w:r>
    </w:p>
    <w:p w:rsidR="0082580E" w:rsidRPr="00CA1D71" w:rsidRDefault="0082580E" w:rsidP="0082580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>Czy Zamawiający wyrazi zgodę na wydzielenie pozycji 75 z zadania 31 i stworzy osobny pakiet?</w:t>
      </w:r>
    </w:p>
    <w:p w:rsidR="00BE0411" w:rsidRPr="00CA1D71" w:rsidRDefault="00C53EE7" w:rsidP="00BE0411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3E228E" w:rsidRPr="00CA1D71">
        <w:rPr>
          <w:rFonts w:ascii="Arial" w:hAnsi="Arial" w:cs="Arial"/>
          <w:b/>
          <w:bCs/>
          <w:sz w:val="22"/>
          <w:szCs w:val="22"/>
        </w:rPr>
        <w:t xml:space="preserve"> Dopuszczamy, nie wydzielamy pozycji z pakietu.</w:t>
      </w:r>
    </w:p>
    <w:p w:rsidR="00C53EE7" w:rsidRPr="00CA1D71" w:rsidRDefault="00C53EE7" w:rsidP="00C53EE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6610A" w:rsidRPr="00CA1D71" w:rsidRDefault="0066610A" w:rsidP="0066610A">
      <w:pPr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3.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31,  pozycja 75</w:t>
      </w:r>
    </w:p>
    <w:p w:rsidR="0066610A" w:rsidRPr="00CA1D71" w:rsidRDefault="0066610A" w:rsidP="0066610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sz w:val="22"/>
          <w:szCs w:val="22"/>
          <w:lang w:eastAsia="en-US"/>
        </w:rPr>
        <w:t xml:space="preserve">Czy zamawiający dopuści produkt Citra-Lock™ (cytrynian sodu)w stężeniu 4% w postaci bezigłowej ampułki x 5ml skuteczność potwierdzona wieloma badaniami klinicznymi w porównaniu do Heparyny, stosowany w celu utrzymania prawidłowej drożności cewnika i/lub portu dożylnego działaniu przeciwzakrzepowym oraz przeciwbakteryjnym? </w:t>
      </w:r>
    </w:p>
    <w:p w:rsidR="0066610A" w:rsidRPr="00CA1D71" w:rsidRDefault="0066610A" w:rsidP="0066610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>Czy Zamawiający dopuści produkt pakowany po 20szt,. w kartonie z przeliczeniem zamawianej ilości?</w:t>
      </w:r>
    </w:p>
    <w:p w:rsidR="00C53EE7" w:rsidRPr="00CA1D71" w:rsidRDefault="0066610A" w:rsidP="0066610A">
      <w:pPr>
        <w:rPr>
          <w:rFonts w:ascii="Arial" w:hAnsi="Arial" w:cs="Arial"/>
          <w:b/>
          <w:bCs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Dopuszczamy</w:t>
      </w:r>
    </w:p>
    <w:p w:rsidR="002613B8" w:rsidRPr="00CA1D71" w:rsidRDefault="002613B8" w:rsidP="002613B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4.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nr 7 poz. 51 i 52</w:t>
      </w:r>
    </w:p>
    <w:p w:rsidR="002613B8" w:rsidRPr="00CA1D71" w:rsidRDefault="002613B8" w:rsidP="002613B8">
      <w:pPr>
        <w:jc w:val="both"/>
        <w:rPr>
          <w:rFonts w:ascii="Arial" w:hAnsi="Arial" w:cs="Arial"/>
          <w:sz w:val="22"/>
          <w:szCs w:val="22"/>
        </w:rPr>
      </w:pPr>
      <w:r w:rsidRPr="00CA1D71">
        <w:rPr>
          <w:rFonts w:ascii="Arial" w:hAnsi="Arial" w:cs="Arial"/>
          <w:sz w:val="22"/>
          <w:szCs w:val="22"/>
        </w:rPr>
        <w:t xml:space="preserve">Czy Zamawiający  w zadaniu Nr 7 poz. 51 i 52 (Meropenem 1g i 500mg, pr.d/sp.r-r.d/wst,inf,20ml,10fiol) </w:t>
      </w:r>
      <w:r w:rsidRPr="00CA1D71">
        <w:rPr>
          <w:rFonts w:ascii="Arial" w:hAnsi="Arial" w:cs="Arial"/>
          <w:b/>
          <w:bCs/>
          <w:sz w:val="22"/>
          <w:szCs w:val="22"/>
        </w:rPr>
        <w:t>wymaga</w:t>
      </w:r>
      <w:r w:rsidRPr="00CA1D71">
        <w:rPr>
          <w:rFonts w:ascii="Arial" w:hAnsi="Arial" w:cs="Arial"/>
          <w:sz w:val="22"/>
          <w:szCs w:val="22"/>
        </w:rPr>
        <w:t xml:space="preserve">, </w:t>
      </w:r>
      <w:r w:rsidRPr="00CA1D71">
        <w:rPr>
          <w:rFonts w:ascii="Arial" w:hAnsi="Arial" w:cs="Arial"/>
          <w:b/>
          <w:bCs/>
          <w:sz w:val="22"/>
          <w:szCs w:val="22"/>
        </w:rPr>
        <w:t>aby meropenem posiadał zarejestrowane wskazania: do leczenia pacjentów z bakteriemią</w:t>
      </w:r>
      <w:r w:rsidRPr="00CA1D71">
        <w:rPr>
          <w:rFonts w:ascii="Arial" w:hAnsi="Arial" w:cs="Arial"/>
          <w:sz w:val="22"/>
          <w:szCs w:val="22"/>
        </w:rPr>
        <w:t xml:space="preserve">, która występuje w związku z którymkolwiek z zakażeń </w:t>
      </w:r>
      <w:r w:rsidRPr="00CA1D71">
        <w:rPr>
          <w:rFonts w:ascii="Arial" w:hAnsi="Arial" w:cs="Arial"/>
          <w:sz w:val="22"/>
          <w:szCs w:val="22"/>
        </w:rPr>
        <w:lastRenderedPageBreak/>
        <w:t>wymienionych w Charakterystyce Produktu Leczniczego lub podejrzewana jest o taki związek tj. ciężkie zapalenie płuc, w tym szpitalne tzw. respiratorowe zapalenie płuc, zapalenie oskrzeli i płuc w przebiegu mukowiscydozy, powikłane zakażenia układu moczowego i jamy brzusznej, zakażenia śródporodowe i poporodowe, powikłane zakażenia skóry i tkanek  miękkich i ostre bakteryjne zapalenie opon mózgowo-rdzeniowych lub podejrzewana jest o taki związek?</w:t>
      </w:r>
    </w:p>
    <w:p w:rsidR="002613B8" w:rsidRPr="00CA1D71" w:rsidRDefault="002613B8" w:rsidP="002613B8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TAK.</w:t>
      </w:r>
    </w:p>
    <w:p w:rsidR="002613B8" w:rsidRPr="00CA1D71" w:rsidRDefault="002613B8" w:rsidP="002613B8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2613B8" w:rsidRPr="00CA1D71" w:rsidRDefault="002613B8" w:rsidP="002613B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5.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nr 7 poz. 51 i 52</w:t>
      </w:r>
    </w:p>
    <w:p w:rsidR="002613B8" w:rsidRPr="00CA1D71" w:rsidRDefault="002613B8" w:rsidP="002613B8">
      <w:pPr>
        <w:jc w:val="both"/>
        <w:rPr>
          <w:rFonts w:ascii="Arial" w:hAnsi="Arial" w:cs="Arial"/>
          <w:sz w:val="22"/>
          <w:szCs w:val="22"/>
        </w:rPr>
      </w:pPr>
      <w:r w:rsidRPr="00CA1D71">
        <w:rPr>
          <w:rFonts w:ascii="Arial" w:hAnsi="Arial" w:cs="Arial"/>
          <w:sz w:val="22"/>
          <w:szCs w:val="22"/>
        </w:rPr>
        <w:t xml:space="preserve">Czy Zamawiający  w zadaniu Nr 7 poz. 51 i 52 (Meropenem 1g i 500mg, pr.d/sp.r-r.d/wst,inf,20ml,10fiol) </w:t>
      </w:r>
      <w:r w:rsidRPr="00CA1D71">
        <w:rPr>
          <w:rFonts w:ascii="Arial" w:hAnsi="Arial" w:cs="Arial"/>
          <w:b/>
          <w:sz w:val="22"/>
          <w:szCs w:val="22"/>
        </w:rPr>
        <w:t>wymaga, aby trwałość roztworu preparatu meropenemu po przygotowaniu wynosiła ponad 1 godzinę</w:t>
      </w:r>
      <w:r w:rsidRPr="00CA1D71">
        <w:rPr>
          <w:rFonts w:ascii="Arial" w:hAnsi="Arial" w:cs="Arial"/>
          <w:sz w:val="22"/>
          <w:szCs w:val="22"/>
        </w:rPr>
        <w:t>?</w:t>
      </w:r>
    </w:p>
    <w:p w:rsidR="002613B8" w:rsidRPr="00CA1D71" w:rsidRDefault="002613B8" w:rsidP="002613B8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TAK.</w:t>
      </w:r>
    </w:p>
    <w:p w:rsidR="002613B8" w:rsidRPr="00CA1D71" w:rsidRDefault="002613B8" w:rsidP="002613B8">
      <w:pPr>
        <w:rPr>
          <w:rFonts w:ascii="Arial" w:hAnsi="Arial" w:cs="Arial"/>
          <w:b/>
          <w:sz w:val="22"/>
          <w:szCs w:val="22"/>
        </w:rPr>
      </w:pPr>
    </w:p>
    <w:p w:rsidR="002613B8" w:rsidRPr="00CA1D71" w:rsidRDefault="002613B8" w:rsidP="002613B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6.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nr 31 poz. 16 i 17</w:t>
      </w:r>
    </w:p>
    <w:p w:rsidR="002613B8" w:rsidRPr="00CA1D71" w:rsidRDefault="002613B8" w:rsidP="002613B8">
      <w:pPr>
        <w:jc w:val="both"/>
        <w:rPr>
          <w:rFonts w:ascii="Arial" w:hAnsi="Arial" w:cs="Arial"/>
          <w:sz w:val="22"/>
          <w:szCs w:val="22"/>
        </w:rPr>
      </w:pPr>
      <w:r w:rsidRPr="00CA1D71">
        <w:rPr>
          <w:rFonts w:ascii="Arial" w:hAnsi="Arial" w:cs="Arial"/>
          <w:sz w:val="22"/>
          <w:szCs w:val="22"/>
        </w:rPr>
        <w:t xml:space="preserve">Czy Zamawiający w zadaniu Nr 31 poz. 16 i 17 </w:t>
      </w:r>
      <w:r w:rsidRPr="00CA1D71">
        <w:rPr>
          <w:rFonts w:ascii="Arial" w:hAnsi="Arial" w:cs="Arial"/>
          <w:b/>
          <w:sz w:val="22"/>
          <w:szCs w:val="22"/>
        </w:rPr>
        <w:t>wymaga, aby</w:t>
      </w:r>
      <w:r w:rsidRPr="00CA1D71">
        <w:rPr>
          <w:rFonts w:ascii="Arial" w:hAnsi="Arial" w:cs="Arial"/>
          <w:sz w:val="22"/>
          <w:szCs w:val="22"/>
        </w:rPr>
        <w:t xml:space="preserve"> Budesonidum/Formoteroli  (320 mikrogramów + 9 mikrograma i 160 mikrogramów + 4,5 mikrogramów)</w:t>
      </w:r>
      <w:r w:rsidRPr="00CA1D71">
        <w:rPr>
          <w:rFonts w:ascii="Arial" w:hAnsi="Arial" w:cs="Arial"/>
          <w:b/>
          <w:sz w:val="22"/>
          <w:szCs w:val="22"/>
        </w:rPr>
        <w:t xml:space="preserve"> był wskazany do leczenia pacjentów z astmą oskrzelową i POCHP?</w:t>
      </w:r>
    </w:p>
    <w:p w:rsidR="002613B8" w:rsidRPr="00CA1D71" w:rsidRDefault="002613B8" w:rsidP="002613B8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TAK.</w:t>
      </w:r>
    </w:p>
    <w:p w:rsidR="002613B8" w:rsidRPr="00CA1D71" w:rsidRDefault="002613B8" w:rsidP="002613B8">
      <w:pPr>
        <w:jc w:val="both"/>
        <w:rPr>
          <w:rFonts w:ascii="Arial" w:hAnsi="Arial" w:cs="Arial"/>
          <w:sz w:val="22"/>
          <w:szCs w:val="22"/>
        </w:rPr>
      </w:pPr>
    </w:p>
    <w:p w:rsidR="002613B8" w:rsidRPr="00CA1D71" w:rsidRDefault="002613B8" w:rsidP="002613B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7.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nr 31 poz.13, 16 i 17</w:t>
      </w:r>
    </w:p>
    <w:p w:rsidR="002613B8" w:rsidRPr="00CA1D71" w:rsidRDefault="002613B8" w:rsidP="002613B8">
      <w:pPr>
        <w:jc w:val="both"/>
        <w:rPr>
          <w:rFonts w:ascii="Arial" w:hAnsi="Arial" w:cs="Arial"/>
          <w:sz w:val="22"/>
          <w:szCs w:val="22"/>
        </w:rPr>
      </w:pPr>
      <w:r w:rsidRPr="00CA1D71">
        <w:rPr>
          <w:rFonts w:ascii="Arial" w:hAnsi="Arial" w:cs="Arial"/>
          <w:sz w:val="22"/>
          <w:szCs w:val="22"/>
        </w:rPr>
        <w:t xml:space="preserve">,,Czy Zamawiający w zadaniu Nr 31 poz. 13, 16 i 17 </w:t>
      </w:r>
      <w:r w:rsidRPr="00CA1D71">
        <w:rPr>
          <w:rFonts w:ascii="Arial" w:hAnsi="Arial" w:cs="Arial"/>
          <w:b/>
          <w:sz w:val="22"/>
          <w:szCs w:val="22"/>
        </w:rPr>
        <w:t>wymaga, aby leki o tej samej nazwie międzynarodowej (</w:t>
      </w:r>
      <w:r w:rsidRPr="00CA1D71">
        <w:rPr>
          <w:rFonts w:ascii="Arial" w:hAnsi="Arial" w:cs="Arial"/>
          <w:sz w:val="22"/>
          <w:szCs w:val="22"/>
        </w:rPr>
        <w:t>Budesonidum/Formoteroli)</w:t>
      </w:r>
      <w:r w:rsidRPr="00CA1D71">
        <w:rPr>
          <w:rFonts w:ascii="Arial" w:hAnsi="Arial" w:cs="Arial"/>
          <w:b/>
          <w:sz w:val="22"/>
          <w:szCs w:val="22"/>
        </w:rPr>
        <w:t xml:space="preserve"> lecz w różnych dawkach pochodziły od tego samego producenta?</w:t>
      </w:r>
    </w:p>
    <w:p w:rsidR="002613B8" w:rsidRPr="00CA1D71" w:rsidRDefault="002613B8" w:rsidP="002613B8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TAK</w:t>
      </w:r>
    </w:p>
    <w:p w:rsidR="002613B8" w:rsidRPr="00CA1D71" w:rsidRDefault="002613B8" w:rsidP="002613B8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613B8" w:rsidRPr="00CA1D71" w:rsidRDefault="002613B8" w:rsidP="002613B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8.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nr 31 poz.33,34 i 45</w:t>
      </w:r>
    </w:p>
    <w:p w:rsidR="002613B8" w:rsidRPr="00CA1D71" w:rsidRDefault="002613B8" w:rsidP="002613B8">
      <w:pPr>
        <w:jc w:val="both"/>
        <w:rPr>
          <w:rFonts w:ascii="Arial" w:hAnsi="Arial" w:cs="Arial"/>
          <w:b/>
          <w:sz w:val="22"/>
          <w:szCs w:val="22"/>
        </w:rPr>
      </w:pPr>
      <w:r w:rsidRPr="00CA1D71">
        <w:rPr>
          <w:rFonts w:ascii="Arial" w:hAnsi="Arial" w:cs="Arial"/>
          <w:sz w:val="22"/>
          <w:szCs w:val="22"/>
        </w:rPr>
        <w:t xml:space="preserve">Czy Zamawiający w zadaniu Nr 31 poz. 33, 34 i 45 (Metoprololi  95;  23,75 i 47,5 mg tabl. o przedł. uwal. x 28szt) oraz w zadaniu Nr 18 poz. 146 i 147 (Metoprolol succinas tabl. o przedł. uwalnianiu 23,75 i 47,5 mg x 28szt.)  </w:t>
      </w:r>
      <w:r w:rsidRPr="00CA1D71">
        <w:rPr>
          <w:rFonts w:ascii="Arial" w:hAnsi="Arial" w:cs="Arial"/>
          <w:b/>
          <w:sz w:val="22"/>
          <w:szCs w:val="22"/>
        </w:rPr>
        <w:t xml:space="preserve">wymaga, aby preparat posiadał zarejestrowane wskazanie w leczeniu zaburzeń rytmu serca takich jak: tachykardie nadkomorowe, ekstrasystolie pochodzenia komorowego i migotanie przedsionków?  </w:t>
      </w:r>
    </w:p>
    <w:p w:rsidR="002613B8" w:rsidRPr="00CA1D71" w:rsidRDefault="002613B8" w:rsidP="002613B8">
      <w:pPr>
        <w:rPr>
          <w:rFonts w:ascii="Arial" w:hAnsi="Arial" w:cs="Arial"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TAK</w:t>
      </w:r>
    </w:p>
    <w:p w:rsidR="00C53EE7" w:rsidRPr="00CA1D71" w:rsidRDefault="00C53EE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CA1D71">
        <w:rPr>
          <w:rFonts w:ascii="Arial" w:hAnsi="Arial" w:cs="Arial"/>
          <w:sz w:val="22"/>
          <w:szCs w:val="22"/>
        </w:rPr>
        <w:tab/>
      </w:r>
    </w:p>
    <w:p w:rsidR="00CA1D71" w:rsidRPr="00CA1D71" w:rsidRDefault="00CA1D71" w:rsidP="00CA1D71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9.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26,  pozycja 312,317</w:t>
      </w:r>
    </w:p>
    <w:p w:rsidR="00CA1D71" w:rsidRPr="00CA1D71" w:rsidRDefault="00CA1D71" w:rsidP="00CA1D71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 xml:space="preserve">Czy Zamawiający dopuści do postępowania opatrunek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Woundclot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val="cs-CZ" w:eastAsia="pl-PL"/>
        </w:rPr>
        <w:t>™ </w:t>
      </w: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 xml:space="preserve">oparty na technologii siatki hemostatycznej otrzymanej w wyniku nieutleniającej reakcji chemicznej wykorzystującej celulozę do budowania zaawansowanych grup funkcyjnych stosowany na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obfite krwawienia</w:t>
      </w: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>, który zapobiega dysocjacji w kontakcie z krwią, co wpływa na stabilność skrzepu nie wymagający mocnego ucisku i chroniący przed Stenozą.</w:t>
      </w:r>
    </w:p>
    <w:p w:rsidR="00CA1D71" w:rsidRPr="00CA1D71" w:rsidRDefault="00CA1D71" w:rsidP="00CA1D71">
      <w:p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>Zdolność do absorpcji płynów w kontakcie z krwią wynosi 2500% jego własnej wagi. Pełna bio-przyswajalność w czasie nie dłuższym niż 7 dni.</w:t>
      </w:r>
    </w:p>
    <w:p w:rsidR="00CA1D71" w:rsidRPr="00CA1D71" w:rsidRDefault="00CA1D71" w:rsidP="00CA1D71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 Tak, dopuszczamy.</w:t>
      </w:r>
    </w:p>
    <w:p w:rsidR="00CA1D71" w:rsidRPr="00CA1D71" w:rsidRDefault="00CA1D71" w:rsidP="00CA1D71">
      <w:pPr>
        <w:rPr>
          <w:rFonts w:ascii="Arial" w:hAnsi="Arial" w:cs="Arial"/>
          <w:b/>
          <w:bCs/>
          <w:sz w:val="22"/>
          <w:szCs w:val="22"/>
        </w:rPr>
      </w:pPr>
    </w:p>
    <w:p w:rsidR="00CA1D71" w:rsidRPr="00CA1D71" w:rsidRDefault="00CA1D71" w:rsidP="00CA1D71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b/>
          <w:bCs/>
          <w:sz w:val="22"/>
          <w:szCs w:val="22"/>
        </w:rPr>
        <w:t xml:space="preserve">Pytanie 10.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26,  pozycja 312,317</w:t>
      </w:r>
    </w:p>
    <w:p w:rsidR="00CA1D71" w:rsidRPr="00CA1D71" w:rsidRDefault="00CA1D71" w:rsidP="00CA1D71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>Czy Zamawiający   wyrazi zgodę na produkt pakowany w kartonie, który zawiera 20 saszetek (saszetka zwiera 2 opatrunki o wymiarach 5 cm x 5 cm) z przeliczeniem zamawianej ilości?</w:t>
      </w:r>
    </w:p>
    <w:p w:rsidR="00CA1D71" w:rsidRPr="00CA1D71" w:rsidRDefault="00CA1D71" w:rsidP="00CA1D71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TAK</w:t>
      </w:r>
    </w:p>
    <w:p w:rsidR="00CA1D71" w:rsidRPr="00CA1D71" w:rsidRDefault="00CA1D71" w:rsidP="00CA1D71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CA1D71" w:rsidRPr="00CA1D71" w:rsidRDefault="00CA1D71" w:rsidP="00CA1D71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CA1D71">
        <w:rPr>
          <w:rFonts w:ascii="Arial" w:hAnsi="Arial" w:cs="Arial"/>
          <w:b/>
          <w:bCs/>
          <w:sz w:val="22"/>
          <w:szCs w:val="22"/>
        </w:rPr>
        <w:t xml:space="preserve">Pytanie 11. </w:t>
      </w:r>
      <w:r w:rsidRPr="00CA1D7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Zadanie 26,  pozycja 312,317</w:t>
      </w:r>
    </w:p>
    <w:p w:rsidR="00CA1D71" w:rsidRPr="00CA1D71" w:rsidRDefault="00CA1D71" w:rsidP="00CA1D7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A1D71">
        <w:rPr>
          <w:rFonts w:ascii="Arial" w:hAnsi="Arial" w:cs="Arial"/>
          <w:color w:val="000000"/>
          <w:sz w:val="22"/>
          <w:szCs w:val="22"/>
          <w:lang w:eastAsia="pl-PL"/>
        </w:rPr>
        <w:t xml:space="preserve"> Czy Zamawiający wyrazi zgodę na wydzielenie pozycji 312, 317 z zadania 26 i stworzy osobny pakiet dla tych pozycji?</w:t>
      </w:r>
    </w:p>
    <w:p w:rsidR="00FE0578" w:rsidRPr="002660D2" w:rsidRDefault="00CA1D71" w:rsidP="00CA1D71">
      <w:pPr>
        <w:suppressAutoHyphens w:val="0"/>
        <w:rPr>
          <w:rFonts w:ascii="Arial" w:hAnsi="Arial" w:cs="Arial"/>
          <w:sz w:val="22"/>
          <w:szCs w:val="22"/>
        </w:rPr>
      </w:pPr>
      <w:r w:rsidRPr="00CA1D71">
        <w:rPr>
          <w:rFonts w:ascii="Arial" w:hAnsi="Arial" w:cs="Arial"/>
          <w:b/>
          <w:bCs/>
          <w:sz w:val="22"/>
          <w:szCs w:val="22"/>
        </w:rPr>
        <w:t>Odpowiedź: Zgodnie z siwz.</w:t>
      </w:r>
      <w:r w:rsidR="008A28E4"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A6" w:rsidRDefault="00643DA6">
      <w:r>
        <w:separator/>
      </w:r>
    </w:p>
  </w:endnote>
  <w:endnote w:type="continuationSeparator" w:id="1">
    <w:p w:rsidR="00643DA6" w:rsidRDefault="0064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41602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16027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A6" w:rsidRDefault="00643DA6">
      <w:r>
        <w:separator/>
      </w:r>
    </w:p>
  </w:footnote>
  <w:footnote w:type="continuationSeparator" w:id="1">
    <w:p w:rsidR="00643DA6" w:rsidRDefault="00643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262C0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13B8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521C86"/>
    <w:rsid w:val="00535A5B"/>
    <w:rsid w:val="0057628C"/>
    <w:rsid w:val="005835A8"/>
    <w:rsid w:val="005926CE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76CC6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A1D71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807AC"/>
    <w:rsid w:val="00DA096B"/>
    <w:rsid w:val="00DA406C"/>
    <w:rsid w:val="00DC5B9D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7</cp:revision>
  <cp:lastPrinted>2016-10-28T12:04:00Z</cp:lastPrinted>
  <dcterms:created xsi:type="dcterms:W3CDTF">2016-10-28T12:14:00Z</dcterms:created>
  <dcterms:modified xsi:type="dcterms:W3CDTF">2016-10-28T12:17:00Z</dcterms:modified>
</cp:coreProperties>
</file>