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9A18A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872C9">
        <w:rPr>
          <w:rFonts w:ascii="Arial" w:hAnsi="Arial" w:cs="Arial"/>
          <w:b w:val="0"/>
          <w:sz w:val="22"/>
          <w:szCs w:val="22"/>
        </w:rPr>
        <w:t>2</w:t>
      </w:r>
      <w:r w:rsidR="00D16AD4">
        <w:rPr>
          <w:rFonts w:ascii="Arial" w:hAnsi="Arial" w:cs="Arial"/>
          <w:b w:val="0"/>
          <w:sz w:val="22"/>
          <w:szCs w:val="22"/>
        </w:rPr>
        <w:t>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9A18AB">
        <w:rPr>
          <w:rFonts w:ascii="Arial" w:hAnsi="Arial" w:cs="Arial"/>
          <w:u w:val="single"/>
        </w:rPr>
        <w:t>2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D16AD4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bookmarkStart w:id="0" w:name="_GoBack"/>
      <w:bookmarkEnd w:id="0"/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1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1eUstawy PZP, brak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określenia warunków zmiany umowy będzie przesądzać o nieważności zapisów z   §1 ust.2,4,5 umowy. Czy z związku z tym, Zamawiający odstąpi od tych zapisów w umowie?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2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Do treści  §2 ust.2 projektu umowy prosimy o dodanie sentencji, zgodnej z przesłanką wynikającą z art. 552 k.c. "... z wyłączeniem powołania się przez Wykonawcę na okoliczności, które zgodnie z przepisami prawa powszechnie obowiązującego uprawniają Sprzedającego do odmowy dostarczenia towaru Kupującemu."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3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W związku z niejednoznacznym zapisem w §2 ust.5 zdanie pierwsze, dotyczącym terminu dostaw leków na ratunek, prosimy o sprecyzowanie zapisu np. poprzez zapis: " Dostawy leków na ratunek - dostawa do 8 godzin od złożenia zamówienia."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16AD4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4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ponoszenia kary przez Wykonawcę (dotyczy zapisu §4 projektu umowy)?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5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Czy Zamawiający zrezygnuje z zapisu §12 ust.1 projektu umowy, dotycząca ograniczenia wysokości naliczenia odsetek do połowy jej wysokości, ponieważ  jest sprzeczna z ustawą z dnia 8 marca 2013 r. o terminach zapłaty w transakcjach handlowych. Wyjaśnić należy, że zgodnie z art. 13 ustawy o terminach zapłaty w transakcjach handlowych  z dnia 8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marca 2013 r. (Dz. U. z 2013 r. poz. 403) /„Postanowienia umowy wyłączające lub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lastRenderedPageBreak/>
        <w:t xml:space="preserve">ograniczające uprawnienia wierzyciela lub obowiązki dłużnika, //są nieważne, a zamiast nich stosuje się przepisy ustawy”/. Art. 13 ww. ustawy ustanawia zatem wprost rygor nieważności postanowień umownych ograniczających lub wyłączających prawa wierzyciela m.in. z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art. 8 ust 1 ww. ustawy, uprawniających wierzyciela do dochodzenia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odsetek ustawowych za opóźnienie w transakcjach handlowych.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6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FF794C" w:rsidRDefault="00D16AD4" w:rsidP="00D16AD4">
      <w:pPr>
        <w:rPr>
          <w:rFonts w:ascii="Arial" w:hAnsi="Arial" w:cs="Arial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Do §12 ust.2 projektu umowy. Prosimy o wykreślenie z projektu umowy zapisu niezgodnego z art. 552 kodeksu cywilnego, ograniczającego prawo wykonawcy do wstrzymania dostaw w przypadku opóźnień płatności za dostarczone towary.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D16AD4" w:rsidRDefault="00D16AD4" w:rsidP="00D16AD4">
      <w:pPr>
        <w:suppressAutoHyphens w:val="0"/>
        <w:rPr>
          <w:rFonts w:ascii="Arial" w:hAnsi="Arial" w:cs="Arial"/>
          <w:sz w:val="22"/>
          <w:szCs w:val="22"/>
        </w:rPr>
      </w:pPr>
    </w:p>
    <w:p w:rsidR="00D16AD4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7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Default="00D16AD4" w:rsidP="00D16AD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>późn</w:t>
      </w:r>
      <w:proofErr w:type="spellEnd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. zm.) oraz art. 10 ustawy z dn. 28.02.2003r. – Prawo upadłościowe (Dz.U.60.535 z </w:t>
      </w:r>
      <w:proofErr w:type="spellStart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>późn</w:t>
      </w:r>
      <w:proofErr w:type="spellEnd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. zm.)? Czy według wiedzy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Zamawiającego w/w przesłanki staną się aktualne w okresie od chwili obecnej do zakończenia umowy zawartej na skutek niniejszego postępowania?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</w: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A929CB">
        <w:rPr>
          <w:rFonts w:ascii="Arial" w:hAnsi="Arial" w:cs="Arial"/>
          <w:b/>
        </w:rPr>
        <w:t>Na chwilę obecną brak takich przesłanek</w:t>
      </w:r>
    </w:p>
    <w:p w:rsidR="00D16AD4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6AD4" w:rsidRPr="004A6B1F" w:rsidRDefault="00D16AD4" w:rsidP="00D16AD4">
      <w:pPr>
        <w:suppressAutoHyphens w:val="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Pytanie nr </w:t>
      </w:r>
      <w:r>
        <w:rPr>
          <w:rFonts w:ascii="Arial" w:eastAsia="Calibri" w:hAnsi="Arial" w:cs="Arial"/>
          <w:b/>
          <w:color w:val="000000"/>
          <w:lang w:eastAsia="pl-PL"/>
        </w:rPr>
        <w:t>8</w:t>
      </w:r>
      <w:r w:rsidRPr="004A6B1F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16AD4" w:rsidRPr="0085643D" w:rsidRDefault="00D16AD4" w:rsidP="00D16AD4">
      <w:pPr>
        <w:suppressAutoHyphens w:val="0"/>
        <w:rPr>
          <w:rFonts w:ascii="Arial" w:eastAsia="Calibri" w:hAnsi="Arial" w:cs="Arial"/>
          <w:sz w:val="22"/>
          <w:szCs w:val="22"/>
          <w:lang w:eastAsia="en-US" w:bidi="hi-IN"/>
        </w:rPr>
      </w:pP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 Czy Zamawiający wyrazi zgodę na ustanowienie ze swojej strony zabezpieczeń cywilnoprawnych prawidłowego wykonania umowy przetargowej, w jednej z następujących postaci: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- cesji na zabezpieczenie w Narodowym Funduszu Zdrowia;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- weksla in blanco wraz z deklaracją;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- poręczenia podmiotu trzeciego, np. wspólnika lub organu założycielskiego;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- zabezpieczenia rzeczowego np. zastawu rejestrowego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</w:t>
      </w:r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br/>
        <w:t xml:space="preserve">(Dz.U.2015.978 z </w:t>
      </w:r>
      <w:proofErr w:type="spellStart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>późn</w:t>
      </w:r>
      <w:proofErr w:type="spellEnd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 xml:space="preserve">. zm.) i ustawie z dn. 28.02.2003r. – Prawo upadłościowe (Dz.U.60.535 z </w:t>
      </w:r>
      <w:proofErr w:type="spellStart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>późn</w:t>
      </w:r>
      <w:proofErr w:type="spellEnd"/>
      <w:r w:rsidRPr="0085643D">
        <w:rPr>
          <w:rFonts w:ascii="Arial" w:eastAsia="Calibri" w:hAnsi="Arial" w:cs="Arial"/>
          <w:sz w:val="22"/>
          <w:szCs w:val="22"/>
          <w:lang w:eastAsia="en-US" w:bidi="hi-IN"/>
        </w:rPr>
        <w:t>. zm.).</w:t>
      </w:r>
    </w:p>
    <w:p w:rsidR="00D16AD4" w:rsidRDefault="00D16AD4" w:rsidP="00D16AD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A929CB">
        <w:rPr>
          <w:rFonts w:ascii="Arial" w:hAnsi="Arial" w:cs="Arial"/>
          <w:b/>
        </w:rPr>
        <w:t>Zgodnie z SIWZ</w:t>
      </w:r>
    </w:p>
    <w:p w:rsidR="00D16AD4" w:rsidRDefault="00D16AD4" w:rsidP="00A872C9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sectPr w:rsidR="00D16AD4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D7" w:rsidRDefault="005B62D7">
      <w:r>
        <w:separator/>
      </w:r>
    </w:p>
  </w:endnote>
  <w:endnote w:type="continuationSeparator" w:id="0">
    <w:p w:rsidR="005B62D7" w:rsidRDefault="005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485760" wp14:editId="454CF65C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D7" w:rsidRDefault="005B62D7">
      <w:r>
        <w:separator/>
      </w:r>
    </w:p>
  </w:footnote>
  <w:footnote w:type="continuationSeparator" w:id="0">
    <w:p w:rsidR="005B62D7" w:rsidRDefault="005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038A8"/>
    <w:rsid w:val="0032726B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5112"/>
    <w:rsid w:val="0057628C"/>
    <w:rsid w:val="005835A8"/>
    <w:rsid w:val="005926CE"/>
    <w:rsid w:val="005B62D7"/>
    <w:rsid w:val="005F2EC1"/>
    <w:rsid w:val="006056A7"/>
    <w:rsid w:val="00605C7F"/>
    <w:rsid w:val="00606967"/>
    <w:rsid w:val="006101CE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032E6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420C1"/>
    <w:rsid w:val="00964739"/>
    <w:rsid w:val="009977BE"/>
    <w:rsid w:val="009A18AB"/>
    <w:rsid w:val="009A4812"/>
    <w:rsid w:val="009F3841"/>
    <w:rsid w:val="009F414F"/>
    <w:rsid w:val="00A10C80"/>
    <w:rsid w:val="00A14007"/>
    <w:rsid w:val="00A208C1"/>
    <w:rsid w:val="00A42B93"/>
    <w:rsid w:val="00A559BE"/>
    <w:rsid w:val="00A6542F"/>
    <w:rsid w:val="00A84F44"/>
    <w:rsid w:val="00A872C9"/>
    <w:rsid w:val="00A9103F"/>
    <w:rsid w:val="00AB1BE4"/>
    <w:rsid w:val="00AC2615"/>
    <w:rsid w:val="00AD2EF6"/>
    <w:rsid w:val="00B13708"/>
    <w:rsid w:val="00B14495"/>
    <w:rsid w:val="00B322C6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16AD4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4B25"/>
    <w:rsid w:val="00EA6CE8"/>
    <w:rsid w:val="00EB72D0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21B5-D7D9-43FC-9296-8974DA22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2017-12-21T13:01:00Z</dcterms:created>
  <dcterms:modified xsi:type="dcterms:W3CDTF">2017-12-21T13:01:00Z</dcterms:modified>
</cp:coreProperties>
</file>