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5B6538">
        <w:rPr>
          <w:rFonts w:ascii="Arial" w:hAnsi="Arial" w:cs="Arial"/>
          <w:b/>
          <w:bCs/>
          <w:color w:val="000000"/>
          <w:sz w:val="22"/>
        </w:rPr>
        <w:t>6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5B6538">
        <w:rPr>
          <w:rFonts w:ascii="Arial" w:hAnsi="Arial" w:cs="Arial"/>
          <w:b/>
          <w:bCs/>
          <w:color w:val="000000"/>
          <w:sz w:val="22"/>
        </w:rPr>
        <w:t>8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5B6538">
        <w:rPr>
          <w:rFonts w:ascii="Arial" w:hAnsi="Arial" w:cs="Arial"/>
          <w:b/>
          <w:bCs/>
          <w:sz w:val="22"/>
        </w:rPr>
        <w:t>6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5B6538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5B6538">
        <w:rPr>
          <w:rFonts w:ascii="Arial" w:hAnsi="Arial" w:cs="Arial"/>
          <w:sz w:val="20"/>
        </w:rPr>
        <w:t>8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 Dz. U. z 201</w:t>
      </w:r>
      <w:r w:rsidR="005B6538">
        <w:rPr>
          <w:rFonts w:ascii="Arial" w:hAnsi="Arial" w:cs="Arial"/>
          <w:szCs w:val="19"/>
          <w:lang w:val="pl-PL"/>
        </w:rPr>
        <w:t>7r</w:t>
      </w:r>
      <w:r w:rsidRPr="00AB5F37">
        <w:rPr>
          <w:rFonts w:ascii="Arial" w:hAnsi="Arial" w:cs="Arial"/>
          <w:szCs w:val="19"/>
          <w:lang w:val="pl-PL"/>
        </w:rPr>
        <w:t xml:space="preserve"> poz. 1</w:t>
      </w:r>
      <w:r w:rsidR="005B6538">
        <w:rPr>
          <w:rFonts w:ascii="Arial" w:hAnsi="Arial" w:cs="Arial"/>
          <w:szCs w:val="19"/>
          <w:lang w:val="pl-PL"/>
        </w:rPr>
        <w:t>579</w:t>
      </w:r>
      <w:r w:rsidRPr="00AB5F37">
        <w:rPr>
          <w:rFonts w:ascii="Arial" w:hAnsi="Arial" w:cs="Arial"/>
          <w:szCs w:val="19"/>
          <w:lang w:val="pl-PL"/>
        </w:rPr>
        <w:t>) po wyczerpaniu procedury przewidzianej dla trybu przetargu nieograniczonego o wartości zamówienia po</w:t>
      </w:r>
      <w:r w:rsidR="001911D4">
        <w:rPr>
          <w:rFonts w:ascii="Arial" w:hAnsi="Arial" w:cs="Arial"/>
          <w:szCs w:val="19"/>
          <w:lang w:val="pl-PL"/>
        </w:rPr>
        <w:t>niżej</w:t>
      </w:r>
      <w:r w:rsidRPr="00AB5F37">
        <w:rPr>
          <w:rFonts w:ascii="Arial" w:hAnsi="Arial" w:cs="Arial"/>
          <w:szCs w:val="19"/>
          <w:lang w:val="pl-PL"/>
        </w:rPr>
        <w:t xml:space="preserve">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Pr="00814D82" w:rsidRDefault="00DD25CC">
      <w:pPr>
        <w:jc w:val="center"/>
        <w:rPr>
          <w:rFonts w:ascii="Arial" w:hAnsi="Arial" w:cs="Arial"/>
          <w:b/>
          <w:sz w:val="20"/>
        </w:rPr>
      </w:pPr>
      <w:r w:rsidRPr="00814D82">
        <w:rPr>
          <w:rFonts w:ascii="Arial" w:hAnsi="Arial" w:cs="Arial"/>
          <w:sz w:val="20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2F430A" w:rsidP="00EF4DE5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sz w:val="20"/>
        </w:rPr>
      </w:pPr>
      <w:r w:rsidRPr="00ED0A19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 xml:space="preserve">Przedmiotem niniejszej umowy jest dostawa </w:t>
      </w:r>
      <w:r w:rsidR="004D5E59">
        <w:rPr>
          <w:rFonts w:ascii="Arial" w:hAnsi="Arial" w:cs="Arial"/>
          <w:sz w:val="20"/>
        </w:rPr>
        <w:t>leków cytostatycznych</w:t>
      </w:r>
      <w:r w:rsidR="00AE3BED">
        <w:rPr>
          <w:rFonts w:ascii="Arial" w:hAnsi="Arial" w:cs="Arial"/>
          <w:sz w:val="20"/>
        </w:rPr>
        <w:t>, w zakresie  zadania nr …</w:t>
      </w:r>
      <w:r w:rsidR="00ED0A19" w:rsidRPr="00ED0A19">
        <w:rPr>
          <w:rFonts w:ascii="Arial" w:hAnsi="Arial" w:cs="Arial"/>
          <w:sz w:val="20"/>
        </w:rPr>
        <w:t>.</w:t>
      </w:r>
      <w:r w:rsidR="00AE3BED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>w ilościach i asortymencie  określonych szczegółowo w załączniku do niniejszej umowy.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4D5E59" w:rsidP="00ED0A19">
      <w:pPr>
        <w:pStyle w:val="Tekstpodstawowy3"/>
        <w:tabs>
          <w:tab w:val="left" w:pos="142"/>
        </w:tabs>
        <w:ind w:left="284" w:hanging="284"/>
        <w:jc w:val="both"/>
        <w:rPr>
          <w:sz w:val="20"/>
        </w:rPr>
      </w:pPr>
      <w:r>
        <w:rPr>
          <w:sz w:val="20"/>
        </w:rPr>
        <w:t>3</w:t>
      </w:r>
      <w:r w:rsidR="00AB5F37" w:rsidRPr="00D25AC0">
        <w:rPr>
          <w:sz w:val="20"/>
        </w:rPr>
        <w:t xml:space="preserve">. 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pStyle w:val="Akapitzlist"/>
        <w:numPr>
          <w:ilvl w:val="0"/>
          <w:numId w:val="8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sz w:val="20"/>
        </w:rPr>
        <w:t xml:space="preserve">Umowa zostaje zawarta na czas od  dnia </w:t>
      </w:r>
      <w:r w:rsidR="00C979BA">
        <w:rPr>
          <w:rFonts w:ascii="Arial" w:hAnsi="Arial" w:cs="Arial"/>
          <w:sz w:val="20"/>
        </w:rPr>
        <w:t>……….</w:t>
      </w:r>
      <w:r w:rsidR="00C14080">
        <w:rPr>
          <w:rFonts w:ascii="Arial" w:hAnsi="Arial" w:cs="Arial"/>
          <w:b/>
          <w:sz w:val="20"/>
        </w:rPr>
        <w:t>r. do dnia 31</w:t>
      </w:r>
      <w:r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Pr="00D25AC0">
        <w:rPr>
          <w:rFonts w:ascii="Arial" w:hAnsi="Arial" w:cs="Arial"/>
          <w:b/>
          <w:sz w:val="20"/>
        </w:rPr>
        <w:t>.201</w:t>
      </w:r>
      <w:r w:rsidR="005B6538">
        <w:rPr>
          <w:rFonts w:ascii="Arial" w:hAnsi="Arial" w:cs="Arial"/>
          <w:b/>
          <w:sz w:val="20"/>
        </w:rPr>
        <w:t>8</w:t>
      </w:r>
      <w:r w:rsidRPr="00D25AC0">
        <w:rPr>
          <w:rFonts w:ascii="Arial" w:hAnsi="Arial" w:cs="Arial"/>
          <w:b/>
          <w:sz w:val="20"/>
        </w:rPr>
        <w:t>r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Realizacja</w:t>
      </w:r>
      <w:r>
        <w:rPr>
          <w:rFonts w:ascii="Arial" w:hAnsi="Arial" w:cs="Arial"/>
          <w:sz w:val="20"/>
        </w:rPr>
        <w:t xml:space="preserve"> dostaw cząstkowych</w:t>
      </w:r>
      <w:r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Pr="00D25AC0">
        <w:rPr>
          <w:rFonts w:ascii="Arial" w:hAnsi="Arial" w:cs="Arial"/>
          <w:sz w:val="20"/>
        </w:rPr>
        <w:t xml:space="preserve"> w  pierwszym dniu roboczym po wyznaczonym terminie.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814D82" w:rsidRDefault="00814D82" w:rsidP="00D25AC0">
      <w:pPr>
        <w:jc w:val="center"/>
        <w:rPr>
          <w:rFonts w:ascii="Arial" w:hAnsi="Arial" w:cs="Arial"/>
          <w:sz w:val="20"/>
        </w:rPr>
      </w:pPr>
    </w:p>
    <w:p w:rsidR="00EF4DE5" w:rsidRDefault="00EF4DE5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>
        <w:rPr>
          <w:rFonts w:ascii="Arial" w:hAnsi="Arial" w:cs="Arial"/>
          <w:sz w:val="20"/>
        </w:rPr>
        <w:t>powiednik (produkt równoważny),</w:t>
      </w:r>
      <w:r w:rsidRPr="00D25AC0">
        <w:rPr>
          <w:rFonts w:ascii="Arial" w:hAnsi="Arial" w:cs="Arial"/>
          <w:sz w:val="20"/>
        </w:rPr>
        <w:t>z zastrzeżeniem postanowień niniejszej umowy poniżej –</w:t>
      </w:r>
      <w:r>
        <w:rPr>
          <w:rFonts w:ascii="Arial" w:hAnsi="Arial" w:cs="Arial"/>
          <w:sz w:val="20"/>
        </w:rPr>
        <w:t xml:space="preserve"> regulujących zmiany cen, który</w:t>
      </w:r>
      <w:r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Pr="00D25AC0">
        <w:rPr>
          <w:rFonts w:ascii="Arial" w:hAnsi="Arial" w:cs="Arial"/>
          <w:b/>
          <w:sz w:val="20"/>
        </w:rPr>
        <w:t>Zaproponowany odpowiednik musi posiadać identyczne jak preparat ujęty w umowie wskazania określone w ChPL.</w:t>
      </w:r>
      <w:r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 xml:space="preserve">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obwieszczeń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Wymagana jest zgodność  dokumentacji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lastRenderedPageBreak/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  <w:bookmarkStart w:id="0" w:name="_GoBack"/>
      <w:bookmarkEnd w:id="0"/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35F1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304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C8" w:rsidRDefault="00561DC8">
      <w:r>
        <w:separator/>
      </w:r>
    </w:p>
  </w:endnote>
  <w:endnote w:type="continuationSeparator" w:id="0">
    <w:p w:rsidR="00561DC8" w:rsidRDefault="0056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5B6538">
      <w:rPr>
        <w:rStyle w:val="Numerstrony"/>
        <w:rFonts w:ascii="Arial" w:hAnsi="Arial" w:cs="Arial"/>
        <w:noProof/>
        <w:sz w:val="22"/>
      </w:rPr>
      <w:t>1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C8" w:rsidRDefault="00561DC8">
      <w:r>
        <w:separator/>
      </w:r>
    </w:p>
  </w:footnote>
  <w:footnote w:type="continuationSeparator" w:id="0">
    <w:p w:rsidR="00561DC8" w:rsidRDefault="0056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E0F"/>
    <w:rsid w:val="00005E5B"/>
    <w:rsid w:val="000119F2"/>
    <w:rsid w:val="00024C01"/>
    <w:rsid w:val="00052D74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51A5D"/>
    <w:rsid w:val="001524A4"/>
    <w:rsid w:val="00154879"/>
    <w:rsid w:val="00161145"/>
    <w:rsid w:val="0016265C"/>
    <w:rsid w:val="0017114D"/>
    <w:rsid w:val="00183C04"/>
    <w:rsid w:val="00190209"/>
    <w:rsid w:val="001911D4"/>
    <w:rsid w:val="001A7CB3"/>
    <w:rsid w:val="00200FB8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4712E"/>
    <w:rsid w:val="00351E1C"/>
    <w:rsid w:val="003742A5"/>
    <w:rsid w:val="00376D50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5255"/>
    <w:rsid w:val="0049216E"/>
    <w:rsid w:val="004A716A"/>
    <w:rsid w:val="004B0AF6"/>
    <w:rsid w:val="004B3780"/>
    <w:rsid w:val="004D5E59"/>
    <w:rsid w:val="004E3BFB"/>
    <w:rsid w:val="0050339E"/>
    <w:rsid w:val="00513BC2"/>
    <w:rsid w:val="00531C3B"/>
    <w:rsid w:val="00542A1F"/>
    <w:rsid w:val="005464CC"/>
    <w:rsid w:val="005509E9"/>
    <w:rsid w:val="00552107"/>
    <w:rsid w:val="00561DC8"/>
    <w:rsid w:val="00574F47"/>
    <w:rsid w:val="00586FD2"/>
    <w:rsid w:val="005938AD"/>
    <w:rsid w:val="005A14ED"/>
    <w:rsid w:val="005A164C"/>
    <w:rsid w:val="005B6538"/>
    <w:rsid w:val="005D47F1"/>
    <w:rsid w:val="005E5AD1"/>
    <w:rsid w:val="0061163F"/>
    <w:rsid w:val="006344D1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F64A5"/>
    <w:rsid w:val="00814D82"/>
    <w:rsid w:val="0083223B"/>
    <w:rsid w:val="00850C99"/>
    <w:rsid w:val="0086284E"/>
    <w:rsid w:val="0087065B"/>
    <w:rsid w:val="008722D7"/>
    <w:rsid w:val="008A295D"/>
    <w:rsid w:val="008B3F46"/>
    <w:rsid w:val="008E505E"/>
    <w:rsid w:val="0090098B"/>
    <w:rsid w:val="00936076"/>
    <w:rsid w:val="00940F3D"/>
    <w:rsid w:val="00996C98"/>
    <w:rsid w:val="009A3A08"/>
    <w:rsid w:val="009B32A8"/>
    <w:rsid w:val="009E4E0F"/>
    <w:rsid w:val="00A15537"/>
    <w:rsid w:val="00A25DDC"/>
    <w:rsid w:val="00A35F1F"/>
    <w:rsid w:val="00A437EC"/>
    <w:rsid w:val="00A56D37"/>
    <w:rsid w:val="00A67E02"/>
    <w:rsid w:val="00A82D4A"/>
    <w:rsid w:val="00A8435F"/>
    <w:rsid w:val="00AB5F37"/>
    <w:rsid w:val="00AD7B8F"/>
    <w:rsid w:val="00AE3BED"/>
    <w:rsid w:val="00AF5A3A"/>
    <w:rsid w:val="00B276EA"/>
    <w:rsid w:val="00B56801"/>
    <w:rsid w:val="00B717FC"/>
    <w:rsid w:val="00B961F8"/>
    <w:rsid w:val="00BA491A"/>
    <w:rsid w:val="00C14080"/>
    <w:rsid w:val="00C3307E"/>
    <w:rsid w:val="00C55A45"/>
    <w:rsid w:val="00C85C42"/>
    <w:rsid w:val="00C92576"/>
    <w:rsid w:val="00C979BA"/>
    <w:rsid w:val="00CA1AAA"/>
    <w:rsid w:val="00CA6698"/>
    <w:rsid w:val="00D25AC0"/>
    <w:rsid w:val="00D303CB"/>
    <w:rsid w:val="00D50DDC"/>
    <w:rsid w:val="00D53FA5"/>
    <w:rsid w:val="00D619A5"/>
    <w:rsid w:val="00D7431F"/>
    <w:rsid w:val="00D776CD"/>
    <w:rsid w:val="00D85846"/>
    <w:rsid w:val="00DA7265"/>
    <w:rsid w:val="00DD1DE7"/>
    <w:rsid w:val="00DD25CC"/>
    <w:rsid w:val="00DF178D"/>
    <w:rsid w:val="00E14F6E"/>
    <w:rsid w:val="00E17FAE"/>
    <w:rsid w:val="00E41702"/>
    <w:rsid w:val="00E4618D"/>
    <w:rsid w:val="00E90C5F"/>
    <w:rsid w:val="00E96974"/>
    <w:rsid w:val="00EB2D7F"/>
    <w:rsid w:val="00EB3F98"/>
    <w:rsid w:val="00EB7EB1"/>
    <w:rsid w:val="00ED0A19"/>
    <w:rsid w:val="00EF4DE5"/>
    <w:rsid w:val="00F028C9"/>
    <w:rsid w:val="00F076AF"/>
    <w:rsid w:val="00F27196"/>
    <w:rsid w:val="00F27A24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15C4-2FE3-4E6F-80B0-CEE47DA7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barelz</cp:lastModifiedBy>
  <cp:revision>40</cp:revision>
  <cp:lastPrinted>2010-02-15T07:33:00Z</cp:lastPrinted>
  <dcterms:created xsi:type="dcterms:W3CDTF">2014-10-16T07:54:00Z</dcterms:created>
  <dcterms:modified xsi:type="dcterms:W3CDTF">2018-05-09T09:56:00Z</dcterms:modified>
</cp:coreProperties>
</file>