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610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Zalecenia dotyczące postępowania w zakażeniach SARS-CoV-2 Polskiego Towarzystwa Epidemiologów i Lekarzy Chorób Zakaźnych z </w:t>
      </w:r>
      <w:r w:rsidRPr="0016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23 lutego 2022 roku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prof. dr hab. n. med. Robert Flisiak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1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prof. dr hab. n. med. Andrzej Horban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2,3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dr hab. n. med. Jerzy Jaroszewicz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4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dr hab. n. med. Dorota Kozielewicz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5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prof. dr hab. n. med. Agnieszka Mastalerz-Migas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6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prof. dr hab. n. med. Radosław Owczuk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7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prof. dr hab. n. med. Miłosz Parczewski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8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prof. dr hab. n. med. Małgorzata Pawłowska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5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prof. dr hab. n. med. Anna Piekarska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9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prof. dr hab. n. med. Krzysztof Simon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10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dr hab. n. med. Krzysztof Tomasiewicz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11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dr hab. n. med. Dorota Zarębska-Michaluk</w:t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12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1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Klinika Chorób Zakaźnych i Hepatologii, Uniwersytet Medyczny w Białymstoku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2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Klinika Chorób Zakaźnych dla Dorosłych, Uniwersytet Medyczny w Warszawie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3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Wojewódzki Szpital Zakaźny w Warszawie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4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Klinika Chorób Zakaźnych w Bytomiu, Śląski Uniwersytet Medyczny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5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 xml:space="preserve"> Klinika Chorób Zakaźnych i Hepatologii, Wydział Lekarski Collegium </w:t>
      </w:r>
      <w:proofErr w:type="spellStart"/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Medicum</w:t>
      </w:r>
      <w:proofErr w:type="spellEnd"/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, Uniwersytet im. Mikołaja Kopernika w Bydgoszczy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6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Katedra i Zakład Medycyny Rodzinnej, Uniwersytet Medyczny we Wrocławiu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7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Katedra Anestezjologii i Intensywnej Terapii, Uniwersytet Medyczny w Gdańsku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8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Klinika Chorób Zakaźnych, Tropikalnych i Nabytych Niedoborów Odporności, Pomorski Uniwersytet Medyczny w Szczecinie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9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Klinika Chorób Zakaźnych i Hepatologii, Uniwersytet Medyczny w Łodzi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10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Klinika Chorób Zakaźnych i Hepatologii, Uniwersytet Medyczny we Wrocławiu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11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Klinika Chorób Zakaźnych i Hepatologii, Uniwersytet Medyczny w Lublinie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br/>
      </w:r>
      <w:r w:rsidRPr="0016101E">
        <w:rPr>
          <w:rFonts w:ascii="Arial" w:eastAsia="Times New Roman" w:hAnsi="Arial" w:cs="Arial"/>
          <w:b/>
          <w:bCs/>
          <w:i/>
          <w:color w:val="333333"/>
          <w:sz w:val="12"/>
          <w:szCs w:val="12"/>
          <w:vertAlign w:val="superscript"/>
          <w:lang w:eastAsia="pl-PL"/>
        </w:rPr>
        <w:t>12</w:t>
      </w:r>
      <w:r w:rsidRPr="0016101E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pl-PL"/>
        </w:rPr>
        <w:t> Klinika Chorób Zakaźnych, Uniwersytet im. Jana Kochanowskiego w Kielcach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Jak cytować</w:t>
      </w:r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Flisiak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R.,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Horban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A., Jaroszewicz J.,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Kozielewicz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D., Mastalerz-Migas A.,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Owczuk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R., Parczewski M., Pawłowska M., Piekarska A., Simon K., Tomasiewicz K.,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Zarębska-Michaluk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D.: Zalecenia dotyczące postępowania w zakażeniach SARS-CoV-2 Polskiego Towarzystwa Epidemiologów i Lekarzy Chorób Zakaźnych z 23 lutego 2022 roku. Med.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Prakt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., 2022; 3: 49–77, 114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Skróty</w:t>
      </w:r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 ACE2 (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angiotensin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converting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enzyme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2</w:t>
      </w:r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konwertaza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angiotensyny 2, ARDS (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acute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respiratory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distress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syndrome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zespół ostrej niewydolności oddechowej, COVID-19 (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coronavirus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disease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choroba spowodowana przez SARS-CoV-2,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ChPL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charakterystyka produktu leczniczego,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eGFR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estimated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glomerular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filtration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rate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oszacowane przesączanie kłębuszkowe, GKS –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glikokortykosteroidy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HDCz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heparyna drobnocząsteczkowa,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Il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interleukina, MERS (</w:t>
      </w:r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Middle East respiratory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syndrome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bliskowschodni zespół niewydolności oddechowej, OIT – oddział intensywnej terapii, PaO</w:t>
      </w:r>
      <w:r w:rsidRPr="0016101E">
        <w:rPr>
          <w:rFonts w:ascii="Arial" w:eastAsia="Times New Roman" w:hAnsi="Arial" w:cs="Arial"/>
          <w:color w:val="333333"/>
          <w:sz w:val="12"/>
          <w:szCs w:val="12"/>
          <w:vertAlign w:val="subscript"/>
          <w:lang w:eastAsia="pl-PL"/>
        </w:rPr>
        <w:t>2</w:t>
      </w:r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ciśnienie parcjalne dwutlenku węgla we krwi tętniczej, PEEP (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positive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end-expiratory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pressure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dodatnie ciśnienie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końcowowydechowe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PrEP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profilaktyka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przedekspozycyjna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SaO</w:t>
      </w:r>
      <w:r w:rsidRPr="0016101E">
        <w:rPr>
          <w:rFonts w:ascii="Arial" w:eastAsia="Times New Roman" w:hAnsi="Arial" w:cs="Arial"/>
          <w:color w:val="333333"/>
          <w:sz w:val="12"/>
          <w:szCs w:val="12"/>
          <w:vertAlign w:val="subscript"/>
          <w:lang w:eastAsia="pl-PL"/>
        </w:rPr>
        <w:t>2</w:t>
      </w:r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wysycenie hemoglobiny krwi tętniczej tlenem, SARS-CoV-2 (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severe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acute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respiratory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syndrome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coronavirus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2</w:t>
      </w:r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koronawirus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zespołu ostrej niewydolności oddechowej 2, SpO</w:t>
      </w:r>
      <w:r w:rsidRPr="0016101E">
        <w:rPr>
          <w:rFonts w:ascii="Arial" w:eastAsia="Times New Roman" w:hAnsi="Arial" w:cs="Arial"/>
          <w:color w:val="333333"/>
          <w:sz w:val="12"/>
          <w:szCs w:val="12"/>
          <w:vertAlign w:val="subscript"/>
          <w:lang w:eastAsia="pl-PL"/>
        </w:rPr>
        <w:t>2</w:t>
      </w:r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– wysycenie tlenem hemoglobiny krwi tętniczej mierzone za pomocą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pulsoksymetru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VoC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variants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of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concern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warianty wzbudzające obawę, VV ECMO (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veno-venous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extracorporeal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membrane</w:t>
      </w:r>
      <w:proofErr w:type="spellEnd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oxygenation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żylno-żylna pozaustrojowa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oksygenacja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przezbłonowa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WHO (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World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Health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Organization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Światowa Organizacja Zdrowia, </w:t>
      </w:r>
      <w:proofErr w:type="spellStart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ŻChZZ</w:t>
      </w:r>
      <w:proofErr w:type="spellEnd"/>
      <w:r w:rsidRPr="0016101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żylna choroba zakrzepowo-zatorowa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6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Wstęp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czasu ogłoszenia przez Światową Organizację Zdrowia (WHO) pandemii „choroby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koronawirusowej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2019” (COVID-19) wywołanej przez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zespołu ostrej niewydolności oddechowej 2 (SARS-CoV-2) minęły blisko 2 lata. Przez ten czas zakażenie SARS-CoV-2 potwierdzono u prawie 400 milionów ludzi na świecie, z których około 6 milionów zmarło.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 Polsce dotychczas odnotowano blisko 5 milionów osób z potwierdzoną infekcją SARS-CoV-2, a odsetek zgonów wyniósł 2,2%.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Wobec rosnącej liczby zakażeń już na początku pandemii niezbędne stało się ustalenie i ujednolicenie zasad praktycznego postępowania z chorymi zakażonymi SARS-CoV-2.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Pierwsze polskie rekomendacje dotyczące prowadzenia pacjentów z COVID-19 zostały opublikowane przez Polskie Towarzystwo Epidemiologów i Lekarzy Chorób Zakaźnych 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PTEiLChZ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31 marca 2020 roku.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Poza patogenezą COVID-19, zasadami diagnozowania zakażenia SARS-CoV-2 oraz opisem metod ochrony przed infekcją zawierały one stosowany do chwili obecnej podział choroby na 4 stadia, w zależności od ciężkości stanu pacjenta, wraz z zaleceniami farmakoterapii podstawowej i wspomagającej w poszczególnych fazach choroby. W tych pierwszych rekomendacjach znalazły się leki, które nadal stanowią podstawę leczenia pacjentów z COVID-19. Nowe wyniki badań, a także pojawienie się nowych leków były powodem dwukrotnej aktualizacji zaleceń jeszcze w roku 2020.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3,4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Kolejne rekomendacje zostały opublikowane 26 kwietnia 2021 roku i skoncentrowały się na optymalizacji stosowania niektórych leków, stworzeniu nowych możliwości terapii w lecznictwie otwartym, zaleceniach postępowania w „zespole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pokowidowym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”, a także wyjaśnieniem podstawowych wątpliwości dotyczących szczepień.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5,6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Aneks do tych rekomendacji datowany na 12 listopada 2021 roku wprowadził nowe leki przeciwwirusowe i przeciwzapalne.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Pomimo rosnącej wiedzy o SARS-CoV-2 i doświadczenia w leczeniu COVID-19 największe znaczenie w walce z pandemią mają szczepionki, które stały się dostępne z końcem 2020 roku. Mimo pełnej dostępności szczepień, obejmujących coraz młodsze grupy wiekowe, z tej możliwości zapobiegania ciężkiemu przebiegowi choroby i śmierci skorzystało w Polsce zaledwie 59% populacji.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8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Najczęstszą przyczyną niechęci do szczepień są podtrzymywane przez ruchy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antyszczepionkowe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obawy o działania niepożądane szczepionek oraz niedostateczne ich przebadanie.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9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Utrzymujący się stan pandemii, pojawianie się nowych wariantów wirusa oraz dostępność nowych leków wymusiły opracowanie nowych, zaktualizowanych rekomendacji. Prezentowane zalecenia postępowania w COVID-19 zostały uzupełnione o możliwość stosowania w warunkach ambulatoryjnych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który dotychczas był zarezerwowany dla lecznictwa szpitalnego, a także kolejnego leku przeciwwirusowego –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nirmatrelwiru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rytonawiru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znanego pod nazwą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Paxlovid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Zrewidowaliśmy możliwość stosowania przeciwciał monoklonalnych ze względu na oporność dominującego obecnie wariantu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Do arsenału leków stosowanych w późniejszych stadiach choroby została dołączona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anakinra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będąca antagonistą receptorów interleukiny 1 (IL-1), a zalecana dawka dobowa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glikokortykosteroidów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(GKS) stosowanych w najcięższych postaciach COVID-19 została zwiększona do poziomu odpowiadającego 12 mg fosforanu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deksametazonu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Poza aktualizacją wiedzy terapeutycznej zalecenia zawierają kluczowe informacje w zakresie etiologii, patogenezy i diagnostyki COVID-19, a także nowe dane dotyczące przebiegu klinicznego i postępowania, zarówno w trakcie trwania choroby zasadniczej, jak i zespołu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pokowidowego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Zaktualizowane zostały również informacje dotyczące szczepień i profilaktyki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przedekspozycyjnej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określonych populacjach. Uzupełniono też informacje o lekach nierekomendowanych ze względu na ostatecznie potwierdzony brak ich przydatności w leczeniu COVID-19 (np. amantadyna, kolchicyna,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iwermektyna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lub niedostateczne dane z badań klinicznych (niektóre leki przeciwzapalne, środki do stosowania miejscowego).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6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Etiologia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grudniu 2015 roku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Menachery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wsp.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10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opublikowali wyniki badań nad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koronawirusem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SHC014-CoV wykrytym u nietoperzy w Chinach. Wykazali możliwość jego namnażania się w komórkach układu oddechowego człowieka, używając jako receptora ludzkiego enzymu konwertującego angiotensynę 2 (ACE2), który kilkanaście lat wcześniej został zidentyfikowany jako miejsce wiązania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wywołującego SARS. Zsyntetyzowano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rekombinant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wirusa SHC014-CoV, który okazał się zdolny do replikacji 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in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vitro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i 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in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vivo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Autorzy, pracujący m.in. w Wuhan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Institute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of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Virology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 podsumowaniu wyników badań stwierdzili, że ich praca wskazuje na potencjalne ryzyko ponownego wyselekcjonowania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SARS-CoV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patogennego dla człowieka spośród wirusów krążących w populacji nietoperzy. W grudniu 2019 roku w tymże Wuhan zidentyfikowano pacjentów z objawami przypominającymi zachorowania w czasie epidemii SARS i MERS. W styczniu 2020 roku zidentyfikowano czynnik sprawczy zachorowań – okazał się nim nowy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ß-koronawirus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SARS-CoV-2.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Ustalono, że jego genom jest w 79% zgodny z wirusem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SARS-CoV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w 50% z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MERS-CoV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Wkrótce okazało się, że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wyizolowany od nietoperzy 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Rhinolophus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affinis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 prowincji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Yunan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oznaczony jako RaTG13, posiadał aż 96,2% zgodności genomu z SARS-CoV-2, co czyni prawdopodobnym, że to właśnie ten gatunek nietoperzy był rezerwuarem wirusa, który z wykorzystaniem wspólnego receptora ACE2 został przeniesiony na człowieka i spowodował pandemię, z którą ludzkość walczy do dzisiaj.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11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1610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Ewolucja molekularna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Zmienność molekularna SARS CoV-2 zarówno z ewolucją nowych linii (wariantów), jak i selekcją mutacji, głównie w regionie kodującym białko kolca (S), bezpośrednio wpływa na epidemiologię pandemii, ciężkość przebiegu klinicznego, skuteczność szczepień i terapii, ryzyko reinfekcji czy czułość narzędzi diagnostycznych.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12,13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Filogenetycznie linie są nazywane numerami kodowymi na podstawie międzynarodowych baz danych (GISAID, PANGO, NEXTRAIN) z określeniem kluczowych mutacji w genomie białka S, ze szczególnym uwzględnieniem regionu RBD (</w:t>
      </w:r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receptor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binding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domain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 Ponadto warianty są klasyfikowane przez WHO w zależności od zakaźności, ciężkości przebiegu choroby i możliwości ucieczki immunologicznej. Aktualnie klasyfikacja ta obejmuje następujące kategorie:</w:t>
      </w:r>
    </w:p>
    <w:p w:rsidR="0016101E" w:rsidRPr="0016101E" w:rsidRDefault="0016101E" w:rsidP="00161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variants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of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concern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VoC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– warianty wzbudzające obawę, charakteryzujące się zwiększoną zakaźnością lub wirulencją, zmniejszoną efektywnością środków ochrony osobistej, szczepień, diagnostyki lub leków</w:t>
      </w:r>
    </w:p>
    <w:p w:rsidR="0016101E" w:rsidRPr="0016101E" w:rsidRDefault="0016101E" w:rsidP="00161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variants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of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interest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VoI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– warianty wzbudzające zainteresowanie, posiadające sygnatury genetyczne o prawdopodobnym lub potwierdzonym wpływie na charakterystykę wirusa, włączając zakaźność, ciężkość przebiegu choroby, ucieczkę immunologiczną lub zmniejszoną czułość metod diagnostycznych wraz z potwierdzonymi zakażeniami populacyjnymi lub w wielu niezależnych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klastrach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transmisji</w:t>
      </w:r>
    </w:p>
    <w:p w:rsidR="0016101E" w:rsidRPr="0016101E" w:rsidRDefault="0016101E" w:rsidP="00161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variants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under monitoring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warianty podlegające monitorowaniu, o zmianach w genomie wpływających na charakterystykę wirusa, ale niepotwierdzonym charakterze fenotypowym lub wpływie epidemiologicznym.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Warianty SARS CoV-2 mogą być przenoszone, dodawane i usuwane z poszczególnych kategorii zgodnie z pojawiającymi się danymi naukowymi. Aktualnie 5 linii jest zakwalifikowanych jako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VoC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Alfa (B.1.1.7), Beta (B.1.351), Gamma (P.1), Delta (B.1.616.2) i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(B1.1.529), a dwie jako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VoI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Lambda (C.37) i Mu (B.1.621).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14-16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Nadzór molekularny nad charakterystyką epidemiologiczną i kliniczną stał się nieodłączną częścią walki z pandemią.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17</w:t>
      </w:r>
    </w:p>
    <w:p w:rsidR="0039483E" w:rsidRDefault="0039483E" w:rsidP="00161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1610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>Patogeneza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Niezależnie od wariantu SARS-CoV-2 uwalniany w trakcie kaszlu lub kichania w formie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bioaerozolu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szerząc się drogą kropelkowo-powietrzną, rzadziej kropelkowo-pyłową, zakaża nasze drogi oddechowe. Do zakażenia może też dojść w wyniku bezpośredniego kontaktu błon śluzowych z zanieczyszczonymi powierzchniami. Opisano także bardzo rzadkie przypadki zakażenia płodu drogą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śródmaciczną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Stwierdzono również obecność wirusa we krwi oraz kale pacjentów, a także u niektórych zwierząt: kotów, fretek i chomików, co jednak nie przekłada się na transmisję zakażenia, choć zwierzęta te mogą pełnić rolę rezerwuaru SARS-CoV-2. Połączenie białka S (kolca) SARS-CoV-2 z funkcjonalnym receptorem komórkowym ACE2, przy wsparciu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przezbłonowych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proteaz serynowych 2 (TMPRSS2) i 4 (TMPRSS4) oraz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furyny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białka regulującego transport glukozy (GRP78,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basigina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umożliwia wniknięcie wirusa do komórek nabłonka pęcherzykowego typu 1 i 2 (AT1 i AT2) oraz komórek śródbłonka płuc. Komórki te są najbardziej efektywnym miejscem replikacji wirusa. Silną ekspresję receptora ACE2 zaobserwowano również w nabłonku górnych dróg oddechowych, gruczołów śluzowych cewkowo-pęcherzowych górnej części przełyku,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enterocytach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jelita krętego i okrężnicy, w nerkach, sercu, trzustce oraz, co wydaje się kluczowym elementem patogenezy, w śródbłonku naczyń tętniczych i żylnych oraz komórkach mięśni gładkich naczyń tętniczych. Mnogość lokalizacji receptorów ACE2 wpływa na złożony i ogólnoustrojowy obraz kliniczny zakażenia.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Odpowiedź immunologiczna na zakażenie SARS-CoV-2 jest złożona i w dużym stopniu zależna od wariantu wirusa, ładunku wirusa, jaki przedostał się do ludzkiego organizmu, oraz indywidualnej sprawności układu odpornościowego gospodarza. Ponadto wiadomo, że podatność na różne choroby zakaźne, a więc także na zakażenie SARS-CoV-2 jest też związana z określonymi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haplotypami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HLA. W okresie inkubacji i we wczesnych stadiach infekcji wrodzona nieswoista odpowiedź immunologiczna u większości osób, szczególnie młodszych, prowadzi do eliminacji zakażenia i blokuje progresję do dalszych jawnych klinicznie etapów zakażenia. U pacjentów z upośledzoną odpowiedzią immunologiczną (np. osoby starsze, obciążone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wielochorobowością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osoby młode z osłabioną chorobowo lub farmakologicznie odpowiedzią immunologiczną) dochodzi do szczególnie nasilonej replikacji wirusa, a następnie – na drodze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apoptozy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nekroptozy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pyroptozy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do masowego niszczenia komórek o wysokiej ekspresji ACE2. W konsekwencji tych zjawisk z udziałem komórek immunokompetentnych, w tym granulocytów i makrofagów, dochodzi do śródmiąższowego zapalenia płuc powodującego upośledzenie wymiany gazowej. U osób z zaburzeniami immunologicznymi aktywowane makrofagi, granulocyty, uszkodzone komórki nabłonka dróg oddechowych i śródbłonka naczyń w sposób niekontrolowany uwalniają do sąsiadujących tkanek i krwiobiegu ponad 100 cytokin (np. IL-1, IL-6, IL-8, IL-17,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TNF-α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IFN-γ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chemokin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(CXCL10 i CCL2), co określamy burzą cytokinową. Te zdarzenia, dysfunkcja śródbłonka i stan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prokoagulacyjny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prowadzą u części pacjentów do zagrażającego życiu zespołu ostrej niewydolności oddechowej (ARDS) i upośledzenia funkcji wielu innych narządów.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18,19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1610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Obraz kliniczny choroby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 kliniczny COVID-19 zmieniał się wraz z kolejnymi falami i zależało to nie tylko od zmiennej patogenności kolejnych wariantów, ale także od możliwości i obciążeń systemu opieki zdrowotnej. 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20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Mediana okresu inkubacji choroby, wynosząca 4–5 dni dla wcześniejszych wariantów SARS-CoV-2, uległa skróceniu do 3 dni w przypadku nowego wariantu Omicron.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21,22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Transmisja po 7–10 dniach od wystąpienia objawów jest mało prawdopodobna nawet w przypadku dodatnich wyników testów genetycznych.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23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Zakażenie 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wariantem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 łagodniejszy przebieg, a odsetek bezobjawowych zakażeń jest większy w porównaniu z wcześniejszymi wariantami SARS-CoV-2, zwłaszcza Delta, niemniej jednak nadal u niektórych pacjentów dochodzi do rozwoju ciężkiej postaci choroby wymagającej hospitalizacji i powodującej zgon.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24,25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Ponadto zakażenie wariantem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wiąże się z rzadszym występowaniem objawów ze strony dolnych dróg oddechowych w porównaniu z wcześniejszymi wariantami.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26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Raporty pochodzące z Republiki Południowej Afryki wskazują na zmniejszenie potrzeby hospitalizacji o 29% wśród osób zakażonych wariantem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natomiast raporty brytyjskie wykazują zmniejszenie ryzyka hospitalizacji jakiejkolwiek i wielodniowej odpowiednio o 20–25% i 40–45% wśród osób niezaszczepionych, u których wcześniej nie wystąpiła infekcja SARS-CoV-2. Przebyta infekcja zmniejsza to ryzyko odpowiednio o 50% i 61%.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27-29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Osoby zakażone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VoC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wykazują objawy podobne do tych wywoływanych przez wcześniejsze warianty, ale na ich wystąpienie i nasilenie mają wpływ nie tylko wiek i choroby współistniejące, ale także przebyta wcześniej infekcja SARS-CoV-2 i szczepienie. 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24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stadium 1 choroby objawy nie występują lub są łagodne, bez duszności, wysycenie tlenem hemoglobiny krwi tętniczej przy oddychaniu powietrzem atmosferycznym mierzone za pomocą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pulsoksymetru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(SpO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wynosi ≥94% i chorzy nie wymagają hospitalizacji. Obraz radiologiczny klatki piersiowej pozostaje prawidłowy. Objawy COVID-19 są różnorodne i w większości niespecyficzne. Najczęściej zgłaszanymi objawami zakażenia wariantem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są kaszel, zatkany nos, katar, kichanie, ból głowy, zmęczenie, ból gardła i gorączka.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30,31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Mogą też wystąpić inne objawy, znane z wcześniejszych fal pandemii, takie jak: duszność, trudności w oddychaniu, ból mięśni lub całego ciała, zapalenie spojówek, jadłowstręt, nudności, wymioty, biegunka, ból brzucha.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 kolei zaburzenia węchu (anosmia) lub smaku 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ageusia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są zgłaszane rzadziej. U starszych osób wahania temperatury ciała z hipotermią, majaczenie i upadki mogą poprzedzać wystąpienie objawów ze strony układu oddechowego.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33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2 stadium zaawansowania choroby pacjenci mają kliniczne i radiologiczne objawy łagodnego do umiarkowanego śródmiąższowego zapalenia płuc z SpO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&lt;94% przy oddychaniu powietrzem atmosferycznym. U niektórych chorych nadal występują gorączka, zmęczenie i inne objawy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pozapłucne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suchy kaszel i duszność.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Stadium 3, będące ciężką postacią choroby z niewydolnością oddechową (duszność, częstość oddechów &gt;30/min, SpO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&lt;90% przy oddychaniu powietrzem atmosferycznym i/lub zmiany zapalne w płucach obejmujące &gt;50% pól płucnych w ciągu 24–48 godz. od wystąpienia objawów) i burzą cytokinową, może się rozwinąć u &gt;15% chorych.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34,35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Objawy neurologiczne obejmujące zarówno ośrodkowy, jak i obwodowy układ nerwowy są częste wśród pacjentów z ciężką infekcją. Opisywane są incydenty ostrej choroby naczyniowo-mózgowej (udar niedokrwienny, krwotok śródmózgowy, zakrzepica żył głębokich mózgu), zapalenie mózgu, zespół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Guillaina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Barrégo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zaburzenia widzenia, zawroty głowy, zaburzenia świadomości, ataksja i drgawki.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36,37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Ponadto chorzy są narażeni na powikłania psychiatryczne, takie jak: zaburzenia nastroju lub psychotyczne, lęk i bezsenność.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38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Aktualnie uważa się, że zajęcie serca jest częstsze, niż sądzono początkowo, i dotyczy także pacjentów bezobjawowych lub z łagodnym oraz umiarkowanym przebiegiem COVID-19.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35,39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Stadium 4 to ARDS, który rozwija się u około 5% chorych; towarzyszy mu wstrząs septyczny i/lub dysfunkcja wielonarządowa. Oprócz ostrego uszkodzenia nerek i wątroby może wystąpić zapalenie pęcherzyka żółciowego, zapalenie trzustki, niedrożność jelit lub niedokrwienie krezki.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40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Zaburzenia rytmu serca, ostry zespół wieńcowy, niewydolność serca, zapalenie mięśnia sercowego, niestabilność hemodynamiczna występują u &gt;20% pacjentów 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przyjmowanych na oddział intensywnej terapii (OIT).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35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Ryzyko żylnej choroby zakrzepowo-zatorowej 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ŻChZZ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), w tym zatorowości płucnej, u chorych na COVID-19 w stanie krytycznym było oceniane na początku pandemii jako wysokie. Częstość występowania tego powikłania wśród pacjentów na OIT sięgała 31%. Nowsze badania wykazały, że ogólne ryzyko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ŻChZZ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 chorych na COVID-19, niezależnie od ciężkości choroby, jest mniejsze (&lt;1%), choć pozostaje większe niż w populacji ogólnej.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35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Współistniejące infekcje bakteryjne lub grzybicze występują u około 8% pacjentów i stanowią jedną z głównych, oprócz ARDS i niewydolności wielonarządowej, przyczyn zgonu. Najczęściej izolowanymi drobnoustrojami są: 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Streptococcus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pneumoniae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Klebsiella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pneumoniae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,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Haemophilus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influenzae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i </w:t>
      </w:r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Aspergillus 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fumigatus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Mukormykoza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po raz pierwszy opisana w Indiach, częściej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wystepuje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 chorych na cukrzycę, leczonych GKS,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tocilizumabem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poddanych wentylacji mechanicznej.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35,41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610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Diagnostyka laboratoryjna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16101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Rozpoznanie zakażenia SARS CoV-2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Standardem potwierdzającym zakażenie SARS-CoV-2 pozostaje wykrycie materiału genetycznego lub antygenu wirusa z próbek pobranych od pacjenta. Spadek czułości w czasie trwania zakażenia jest w przypadku testów antygenowych większy niż w przypadku badań molekularnych. Dlatego w niepotwierdzonych przypadkach wysoce prawdopodobnych (wywiad epidemiologiczny, obraz kliniczny i radiologiczny) kolejne badanie należy rozważyć po upływie 24–48 godzin. Czułość badań molekularnych w zależności od rodzaju pobranego materiału z górnych dróg oddechowych waha się od 82–97%.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42,43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16101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Testy wykrywające materiał genetyczny wirusa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Testy molekularne oparte na odwrotnej transkrypcji z następczą łańcuchową reakcją polimerazy w czasie rzeczywistym 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RT-PCR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pozostają złotym standardem diagnostycznym. Diagnostyka genetyczna jest rozszerzana o badania oparte na amplifikacji izotermicznej 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RT-LAMP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pod warunkiem zachowania wysokiej czułości i swoistości (odpowiednio co najmniej 95% i 97%). W badaniach molekularnych wykorzystuje się wykrywanie różnych regionów genomu wirusa, niemniej w przypadku niektórych wariantów SARS-CoV-2 obserwowano zmniejszenie czułości wykrywania niektórych genów wirusowych (szczególnie regionu S), dlatego test molekularny powinien wykrywać ≥2 regiony genomu wirusa. Ponieważ fragmenty materiału genetycznego SARS-CoV-2 mogą być wykrywalne przez długi czas (&gt;3 mies., a u osób z niedoborem odporności nawet do 9 mies.) i nie wiąże się to z replikacją wirusa, badania molekularne nie mogą być stosowane do oceny zakaźności.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44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 względu na stałą ewolucję wariantów wirusowych wprowadzono stały nadzór molekularny charakteryzujący dynamikę pojawiania się, wymiany i przepływu wariantów genetycznych SARS-CoV-2. Jest on prowadzony technologiami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sekwencjonowania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 identyfikacją linii wirusa, charakterystyką mutacji oraz analizami filogenetycznymi określającymi dynamikę transmisji. Dla efektywnego nadzoru molekularnego należy dążyć do uzyskania sekwencji z 5–10% próbek dodatnich w populacji.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16101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Testy antygenowe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Testy antygenowe są szeroko stosowane do diagnostyki zarówno w warunkach medycznych, jak i domowych. Czułość diagnostyczna testów antygenowych niezmiennie powinna wynosić 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≥90%, a swoistość ≥97%. Ich zaletą pozostaje szybkość uzyskania wyniku. Pozwalają one na wykrycie zakażeń objawowych do około 7 dni od początku objawów chorobowych, a utrzymywanie się dodatniego wyniku może świadczyć o zakaźności, choć wynik ujemny jej nie wyklucza.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45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Czułość testów antygenowych pozostaje niższa niż badań genetycznych i jest zmienna w zależności od wariantu wirusa.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46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Czułość testów antygenowych w identyfikacji wariantu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niższa w porównaniu z innymi wariantami, włączając warianty Alfa i Delta. Możliwy spadek czułości testów antygenowych sięga 37%.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47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16101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Testy serologiczne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Odpowiedź immunologiczną humoralną w zakażeniu SARS-CoV-2 można zbadać jakościowymi i ilościowymi badaniami przeciwciał, testami neutralizacji i badaniami przeciwciał neutralizujących, a odpowiedź komórkową testami ilościowo oznaczającymi wydzielanie interferonu γ (IGRA) oraz poprzez zliczanie aktywowanych antygenami SARS-CoV-2 limfocytów T (ELISPOT). Do różnicowania przebytego zakażenia od odpowiedzi poszczepiennej można używać testów różnicujących przeciwciała przeciw białku S i białku N (obecność przeciwciał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anty-N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świadczy o przebytym zakażeniu). W związku pojawianiem się nowych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VoC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cechujących się wyższym prawdopodobieństwem ucieczki immunologicznej nie należy wnioskować o funkcji ochronnej przeciwciał na podstawie miana przeciwciał anty-S. Badania przeciwciał nie mają również zastosowania do określenia aktywności zakażenia, natomiast mogą świadczyć o odpowiedzi na szczepienie. Testy oceniające odporność komórkową nie mają aktualnie zastosowania klinicznego, ale mogą być wykorzystane w populacjach szczególnych, na przykład u osób z zaburzeniami odporności, które nie wytwarzają przeciwciał.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610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Leczenie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Wybór leków stosowanych w COVID-19 musi być uwarunkowany fazą choroby, stanem klinicznym pacjenta oraz oceną czynników ryzyka ciężkiego przebiegu COVID-19. Rekomendowane postępowanie terapeutyczne zależne od stadium choroby opisano w w tabeli 1. oraz szczegółowo poniżej.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5269"/>
        <w:gridCol w:w="2317"/>
      </w:tblGrid>
      <w:tr w:rsidR="0016101E" w:rsidRPr="0016101E" w:rsidTr="0016101E">
        <w:trPr>
          <w:tblCellSpacing w:w="15" w:type="dxa"/>
        </w:trPr>
        <w:tc>
          <w:tcPr>
            <w:tcW w:w="0" w:type="auto"/>
            <w:gridSpan w:val="3"/>
            <w:shd w:val="clear" w:color="auto" w:fill="00C2C9"/>
            <w:vAlign w:val="center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Tabela 1. Zalecane postępowanie farmakologiczne u dorosłych w poszczególnych stadiach klinicznych zakażenia SARS-CoV-2, z uwzględnieniem leczenia podstawowego i wspomagającego.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Szczegółowe informacje dotyczące dawkowania i ograniczeń stosowania zawarte są w charakterystykach produktów leczniczych (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ChPL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) dla UE/Polski.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Stadium choroby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Leczenie podstawowe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Leczenie wspomagające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8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stadium 1 – </w:t>
            </w:r>
            <w:proofErr w:type="spellStart"/>
            <w:r w:rsidRPr="003948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skąpoobjawowe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SpO</w:t>
            </w:r>
            <w:r w:rsidRPr="0016101E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≥94% nie wymaga hospitalizacji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rozpoczęcie terapii przeciwwirusowej zalecane jest do 5 doby od wystąpienia objawów (do 10 dni w stanach immunosupresji), ze szczególnym uwzględnieniem chorych z ryzykiem ciężkiego przebiegu COVID-19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i pod warunkiem bezpośredniego nadzoru lekarskiego podczas kwalifikacji i monitorowania leczenia; leki te nie powinny być stosowane u kobiet w ciąży i karmiących piersią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molnupirawir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 </w:t>
            </w:r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p.o.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2×dz. 800 mg przez 5 dni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61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nirmatrelwir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rytonawir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 </w:t>
            </w:r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p.o.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 2xdz. 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300/100mg przez 5 dni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62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przeciwwskazany u chorych z: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ciężkimi zaburzeniami czynności wątroby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eGFR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&lt;30 ml/min, (u chorych z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eGFR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30-60 ml/min dawka zredukowana do 150/100 mg)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remdesiwir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1×dz. przez 3 dni, dawka nasycająca 1. dnia 200 mg, potem dawka podtrzymująca 100 mg przez 2 dni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przeciwwskazany u chorych z: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eGFR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&lt;30 ml/min.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aktywnością ALT ≥5-krotność górnej granicy normy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63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sotrowimab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 w pojedynczej infuzji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zawierającej 500 mg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55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kasiriwimab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imdewimab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lub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s.c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w pojedynczej dawce 1200 mg (600/600 mg) pod warunkiem, że na danym terenie nie dominuje wariant oporny (np. Omikron)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67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.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budezonid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wziewnie w dawce 2xdz. 800 µg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56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leki przeciwgorączkowe (paracetamol,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ibuprofen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itd.)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odpoczynek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nawodnienie doustne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heparyna drobnocząsteczkowa u chorych przewlekle 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unieruchomionych i z innymi wskazaniami do profilaktyki przeciwzakrzepowej niezwiązanymi z COVID-19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leki przeciwkaszlowe w przypadku uporczywego kaszlu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glikokortykosteroidy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stosowane ogólnoustrojowo są przeciwwskazane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antybiotyki i leki przeciwgrypowe są przeciwwskazane, o ile nie stwierdza się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koinfekcji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bakteryjnej lub współistniejącej grypy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kontrola saturacji tlenowej – stosowanie systemu alarmowania zdalnego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Pulsocare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(z wykorzystaniem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pulsoksymetrów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stadium 2 – pełnoobjawowe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SpO</w:t>
            </w:r>
            <w:r w:rsidRPr="0016101E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&lt;94%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zwykle 1.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tydz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. choroby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wymaga hospitalizacji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rozpoczęcie terapii przeciwwirusowej każdym z poniższych leków zalecane jest do 5. doby od wystąpienia objawów (do 10 dni w stanach immunosupresji); leki te nie powinny być stosowane u kobiet w ciąży i karmiących piersią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molnupirawir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 </w:t>
            </w:r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p.o.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2×dz. 800 mg przez 5 dni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61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nirmatrelwir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rytonawir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 </w:t>
            </w:r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p.o.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2xdz. 300/100mg przez 5 dni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62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przeciwwskazany u chorych z: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ciężkimi zaburzeniami czynności wątroby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eGFR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&lt;30 ml/min, (u chorych z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eGFR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30-60 ml/min dawka zredukowana do 150/100 mg)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remdesiwir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1×dz. przez 5 dni, dawka nasycająca 1. dnia 200 mg, potem dawka podtrzymująca 100 mg przez 2 dni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przeciwwskazany u chorych z: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eGFR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&lt; 30 ml/min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aktywnością ALT ≥5-krotność górnej granicy normy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63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sotrowimab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 w pojedynczej infuzji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zawierającej 500 mg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55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kasiriwimab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imdewimab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stosowany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lub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s.c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 w pojedynczej dawce 1200 mg (600/600 mg) pod warunkiem, że na danym terenie nie dominuje wariant oporny (np. 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Omikron)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heparyna drobnocząsteczkowa w dawce profilaktycznej, którą można zwiększyć w uzasadnionych przypadkach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deksametazon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do rozważenia, ale tylko u pacjentów otrzymujących leki przeciwwirusowe i tlenoterapię, </w:t>
            </w:r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p.o.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lub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4-8 mg/d; nie powinien być stosowany w 1 tyg. choroby jeśli nie stosuje się leków przeciwwirusowych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antybiotykoterapia w przypadku wtórnych zakażeń bakteryjnych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leczenie objawowe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tlenoterapia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nawodnienie doustne lub dożylne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stadium 3 - z niewydolnością oddechową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(burza cytokinowa)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SpO</w:t>
            </w:r>
            <w:r w:rsidRPr="0016101E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&lt;90%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zwykle 2.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tydz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. choroby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wymaga hospitalizacji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tocilizumab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 (stosowany u dorosłych ze stężeniem IL 6&gt;100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pg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/ml) w pojedynczym wlewie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800 mg, jeżeli masa ciała (mc.) &gt;90 kg; 600 mg przy mc. 65-90 kg; 400 mg przy mc. 40-65 kg i 8 mg/kg przy mc. ≤40 kg; w razie braku poprawy można podać 2. dawkę po 8–24 godz.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przeciwwskazany u chorych z: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bezwzględną liczbą granulocytów obojętnochłonnych &lt;2000/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μl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aktywną gruźlicą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70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anakinra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 stosowana u dorosłych ze stężeniem rozpuszczalnego receptora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urokinazowego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aktywatora plazminogenu (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suPAR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) w osoczu ≥6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ng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/m, w dawce 100 mg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s.c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1xdz. przez 10 dni; należy zachować ostrożność u osób z nawracającymi zakażeniami; nie stosować u pacjentów z bezwzględną liczbą granulocytów obojętnochłonnych &lt;1500/µl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73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baricytynib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p.o.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4 mg/d do końca hospitalizacji, ale nie dłużej niż 14 dni, zalecany zwłaszcza u chorych wymagających tlenoterapii wysokoprzepływowej. Brak dowodów na korzyści ze stosowania z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tocilizumabem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Przeciwwskazany u chorych z: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eGFR&lt;30 ml/min (dawka zredukowana do 2 mg dziennie u chorych z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eGFR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30-60 ml/min i &gt;75 lat)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zagrożeniem zakrzepicą i zatorowością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z aktywną gruźlicą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75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i/lub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Fosforan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deksametazonu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podawany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 w dawce dziennej 6-8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mg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c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przez 7-10 dni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• heparyna drobnocząsteczkowa w dawce profilaktycznej, którą można zwiększyć w uzasadnionych przypadkach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antybiotykoterapia w przypadku wtórnych zakażeń bakteryjnych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leczenie objawowe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tlenoterapia nisko-/wysokoprzepływowa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nawodnienie dożylne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stadium 4 -</w:t>
            </w: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zespół ostrej niewydolności oddechowej (ARDS)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jak dotąd brak w pełni skutecznych metod farmakoterapii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konieczność stosowania wentylacji mechanicznej płuc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konieczność leczenia na oddziale anestezjologii i intensywnej terapii.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• </w:t>
            </w:r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fosforan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deksametazonu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podawany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w dawce dziennej 12mg</w:t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c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 przez 7-10 dni; jeśli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deksametazon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nie jest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dostepny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, można podawać inne glikokortykoidy w równoważnych dawkach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i/lub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tocilizumab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w połączeniu z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deksametazonem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może być podawany chorym wymagającym wentylacji mechanicznej płuc.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Należy podać go jak najwcześniej, w 1. dobie wentylacji;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przeciwwskazany u chorych z: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bezwzględną liczbą granulocytów obojętnochłonnych &lt;2000/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μl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- aktywną gruźlicą</w:t>
            </w:r>
          </w:p>
        </w:tc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tlenoterapia wysokoprzepływowa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wentylacja nieinwazyjna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wentylacja inwazyjna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 VV ECMO u wybranych chorych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• heparyna drobnocząsteczkowa w dawce profilaktycznej, którą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mozna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zwiększyć w uzasadnionych przypadkach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>• nie zaleca się empirycznej antybiotykoterapii, o ile nie ma cech zakażenia bakteryjnego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Szczegółowe informacje dotyczące dawkowania i ograniczeń stosowania zawarte są w charakterystykach produktów leczniczych (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ChPL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) dla Unii Europejskiej (UE)/Polski.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lastRenderedPageBreak/>
              <w:t>b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wiek &gt;60 lat, otyłość, cukrzyca, choroba nowotworowa, przewlekła niewydolność krążenia, przewlekła niewydolność oddechowa, przewlekła niewydolność nerek, niedobory odporności, immunosupresja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6101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c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 zgodnie z informacją producenta, 6 lub 8 mg/ml fosforanu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deksametazonu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zawarte w dostępnych roztworach do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injekcji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odpowiada 4,95 lub 6,6 mg/ml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deksametazonu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ALT – aminotransferaza alaninowa, ARDS – zespół ostrej niewydolności oddechowej,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eGFR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– oszacowana wielkość przesączania kłębuszkowego,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i.v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– dożylnie, </w:t>
            </w:r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p.o.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– doustnie, 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s.c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 – podskórnie, SpO</w:t>
            </w:r>
            <w:r w:rsidRPr="0016101E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 – wysycenie tlenem hemoglobiny krwi tętniczej zmierzone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pulsoksymetrem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, VV ECMO – pozaustrojowa żylno-żylna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oksygenacja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lang w:eastAsia="pl-PL"/>
              </w:rPr>
              <w:t>przezbłonowa</w:t>
            </w:r>
            <w:proofErr w:type="spellEnd"/>
          </w:p>
        </w:tc>
      </w:tr>
    </w:tbl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16101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lastRenderedPageBreak/>
        <w:t>Stadium 1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Zdecydowana większość chorych (80%) przechodzi zakażenie SARS-CoV-2 w sposób bezobjawowy lub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skąpoobjawowy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nie wymaga hospitalizacji. Odsetek ten znacznie wzrósł wraz z dominacją wariantu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wywołującego głównie objawy zakażenia górnych dróg oddechowych. Należy jednak pamiętać, że w niektórych przypadkach wystąpienie tych łagodnych objawów może poprzedzać progresję do zapalenia płuc stwierdzanego zwykle w stadium 2 choroby. Pacjenci w stadium 1, pozostający zwykle pod opieką lekarza podstawowej opieki zdrowotnej, wymagają przede wszystkim oceny stanu ogólnego i monitorowania SpO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oraz oceny czynników ryzyka rozwoju ciężkiej postaci COVID-19, do których zaliczamy: wiek &gt;60 lat, otyłość, cukrzycę, chorobę nowotworową, przewlekłą niewydolność serca, przewlekłą niewydolność oddechową, przewlekłą niewydolność nerek, niedobory odporności i immunosupresję.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Rutynowe stosowanie leków przeciwwirusowych u wszystkich chorych w stadium 1 choroby nie jest konieczne. Aktualnie dysponujemy lekami hamującymi replikację SARS-CoV-2 oraz przeciwciałami monoklonalnymi neutralizującymi wirusa, których zastosowanie ogranicza jednak zmienna wrażliwość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VoC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Leki hamujące replikację wirusową, takie jak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molnupirawir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nirmatrelwir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(PF-07 321 332)/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rytonawir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powinny być zastosowane do 5. doby od wystąpienia objawów u chorych spełniających kryteria ryzyka rozwoju ciężkiej postaci choroby (jak wyżej).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48-50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U chorych z udokumentowaną immunosupresją, wynikającą z choroby lub stosowanej terapii, można wydłużyć czas umożliwiający rozpoczęcie leczenia przeciwwirusowego do 10 dni, zakładając dłuższy okres aktywności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replikacyjnej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wirusa. Wymienione leki powinny być stosowane na zlecenie i pod nadzorem lekarza ze względu na ograniczenia dotyczące każdego z nich. Zgodnie z charakterystyką produktu leczniczego 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ChPL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żaden z leków przeciwwirusowych nie może być stosowany u kobiet ciężarnych i karmiących ze względu na brak badań klinicznych w tych grupach chorych.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Molnupirawir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nirmatrelwir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rytonawir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są lekami doustnymi stosowanymi 2 razy dziennie przez 5 dni (szczegóły dawkowania w opisie leczenia stadium 2 i tab. 1).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48,50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podaje się we wlewach dożylnych u chorych niepotrzebujących tlenoterapii. U chorych niewymagających hospitalizacji wykazano, że wystarczająca jest terapia 3-dniowa.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49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Zastosowanie wszystkich wymienionych powyżej leków przeciwwirusowych zmniejsza istotnie ryzyko hospitalizacji i ciężkiego przebiegu COVID-19 u osób obciążonych wspomnianymi czynnikami ryzyka.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Alternatywą dla wymienionych powyżej leków przeciwwirusowych w warunkach ambulatoryjnych są neutralizujące przeciwciała monoklonalne. Aktualnie dostępny w Polsce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kasiriwimab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imdewimab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powinien być stosowany w jednorazowej infuzji dożylnej 1200 mg.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51,52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Jednak z uwagi na dominację wariantu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który badaniach </w:t>
      </w:r>
      <w:proofErr w:type="spellStart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in</w:t>
      </w:r>
      <w:proofErr w:type="spellEnd"/>
      <w:r w:rsidRPr="001610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vitro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nie poddaje się neutralizacji przez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kasiriwimab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imdewimab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aktualnie nie zaleca się stosowania tego leku.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53,54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 przeciwieństwie do tego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sotrowimab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podawany do 5 dni od wystąpienia objawów 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 jednorazowej infuzji dożylnej 500 mg wykazuje aktywność wobec wariantu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istotnie zmniejszając ryzyko progresji choroby do postaci ciężkiej i krytycznej, hospitalizacji lub zgonu oraz skracając czas powrotu do zdrowia.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54,55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Chorzy z łagodnymi objawami infekcji dróg oddechowych (niewysoka lub krótkotrwała gorączka, ból gardła, głowy, mięśni, nieżyt nosa) bez cech zajęcia płuc i bez współistnienia chorób obciążających rokowanie zwykle nie wymagają terapii farmakologicznej, a jedynie monitorowania stanu klinicznego. Wskazana jest rejestracja w systemie Domowej Opieki Medycznej (DOM,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Pulsocare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wszystkich dorosłych chorych pozostających w domu w celu monitorowania SpO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które powinno się utrzymywać na poziomie przynajmniej 94%. Wszyscy chorzy objęci systemem DOM, którzy raportują pomiary, są objęci opieką konsultantów i lekarzy systemu, oceniających wskazania do hospitalizacji; w przypadku pojawienia się wartości alarmowych mogą oni wezwać zespół ratownictwa medycznego. Należy jednak pamiętać, że u chorych z przewlekłymi chorobami układu oddechowego SpO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jest wyjściowo obniżone i nie musi oznaczać narastania niewydolności oddechowej spowodowanej przez SARS-CoV-2.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ramach leczenia objawowego pacjenci mogą wymagać zastosowania leków przeciwgorączkowych w przypadku wystąpienia gorączki (najskuteczniejsze są niesteroidowe leki przeciwzapalne lub paracetamol). Chorym z nasilonym, suchym kaszlem (utrudniającym mówienie i sen) zaleca się stosowanie leków przeciwkaszlowych. U dorosłych pacjentów z objawowym COVID-19 o łagodnym lub umiarkowanym przebiegu wskazane jest podawanie wziewnie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budezonidu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dawce 800 µg 2 razy dziennie.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56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Należy podkreślić, że u chorych w tym stadium nie należy podawać GKS systemowo, ze względu na ich działanie immunosupresyjne mogące nasilać i wydłużać czas replikacji wirusa, a przez to pogarszać rokowanie.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57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związku z wynikami badań, które wskazują na ryzyko cięższego przebiegu COVID-19 u osób z niedoborem witaminy D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3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jej suplementowanie jest wskazane w przypadku udokumentowania deficytu, zgodnie z rekomendacjami dla populacji polskiej.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58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Należy jednak pamiętać o konsekwencjach przedawkowania, które mogą się wiązać z odległymi następstwami zdrowotnymi.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Brakuje wystarczających danych przemawiających za rutynowym stosowaniem leków przeciwpłytkowych w COVID-19. Zaleca się stosowanie heparyny drobnocząsteczkowej (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HDCz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w dawce profilaktycznej u chorych przewlekle unieruchomionych i z innymi, niezwiązanymi z COVID-19, wskazaniami do profilaktyki przeciwzakrzepowej, zwłaszcza u chorych z czynnikami ryzyka wystąpienia zakrzepicy żył głębokich i/lub zatoru płucnego.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59,60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Antybiotyki powinno się stosować jedynie w przypadku uzasadnionego podejrzenia rozwoju infekcji bakteryjnej, gdyż nie udowodniono ich skuteczności w leczeniu COVID-19. Nie ma również uzasadnienia dla stosowania tlenoterapii domowej w ostrej fazie choroby. Wystąpienie konieczności tlenoterapii związane z gwałtownym pogorszeniem stanu klinicznego stanowi bezwzględne wskazanie do hospitalizacji.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16101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Stadium 2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Narastająca duszność z SpO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&lt;94% wymaga tlenoterapii, co wiąże się z koniecznością hospitalizacji. Zwykle w tej fazie choroby wystarczająca jest tlenoterapia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niskoprzepływowa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nieprzekraczająca 15 l/min. Profilaktyczne dawki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HDCz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stanowią element standardowego postępowania u chorych hospitalizowanych, a w uzasadnionych przypadkach można dawkę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HDCz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zwiększyć. Terapia przeciwwirusowa powinna zostać rozpoczęta najpóźniej do 5. doby od wystąpienia objawów. U osób w stanie immunosupresji okres ten można wydłużyć do 10 dni. Rozpoczęcie leczenia po upływie tego czasu jest bezcelowe ze względu na zanik replikacji wirusa. Terapia przeciwwirusowa jest zalecana przede wszystkim u chorych z ryzykiem ciężkiego przebiegu COVID-19 (wymienione w opisie stadium 1). Ze względu na ograniczenia wynikające z charakterystyki leki te powinny być stosowane pod nadzorem lekarskim, z wykluczeniem stosowania przede wszystkim u kobiet w ciąży i kobiet karmiących.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61-63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Pierwszym zarejestrowanym lekiem przeciwwirusowym o udowodnionej skuteczności przeciwko SARS-CoV-2 u dorosłych i dzieci &gt;12. roku życia jest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który u chorych hospitalizowanych należy podawać we wlewie dożylnym w dawce 200 mg 1. dnia i 100 mg w kolejnych 4 dniach.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64-66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Głównym przeciwwskazaniem do stosowania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niewydolność nerek z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eGFR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&lt;30 ml/min. Leczenie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remdesiwirem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należy przerwać, jeśli aktywność aminotransferazy alaninowej (ALT) przekroczy 5-krotnie górną granicę normy.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63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Alternatywnie do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można stosować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molnupirawir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doustnie w dawce 800 mg 2 razy dziennie przez 5 dni lub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nirmatrelwir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(PF-07 321 332)/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rytonawir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doustnie 300/100 mg 2 razy dziennie przez 5 dni.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48,61,62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Należy przy tym pamiętać, że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nirmatrelwir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rytonawir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przeciwwskazany u chorych z ciężkimi zaburzeniami czynności wątroby oraz u chorych z niewydolnością nerek i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eGFR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&lt;30 ml/min; u chorych z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eGFR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30–60 ml/min można lek stosować w dawce zredukowanej do 150/100 mg 2 razy dziennie. Lek ten jest inhibitorem CYP3A, w związku z czym konieczna jest ocena ryzyka interakcji z innymi lekami.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62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Żaden z tych 3 leków przeciwwirusowych nie został dopuszczony do stosowania u kobiet w ciąży i kobiet karmiących. Ze względu na mechanizm działania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molnupirawiru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potencjalne, choć niepotwierdzone klinicznie działanie mutagenne należy zwrócić szczególną uwagę na skuteczną antykoncepcję w przypadku jego stosowania u kobiet w wieku prokreacyjnym.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Zamiast leków hamujących replikację możliwe jest również w warunkach szpitalnych stosowanie przeciwciał monoklonalnych o aktywności neutralizującej wobec SARS-CoV-2. Nadzieje związane z tą metodą leczenia zostały ostudzone wraz z dominacją wariantu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który jest neutralizowany wyłącznie przez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sotrowimab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stosowany w dawce 500 mg w pojedynczej infuzji dożylnej.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54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Inne preparaty z tej grupy, a w tym dostępny w Polsce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kasiriwimab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imdewimab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stosowany dożylnie lub podskórnie w jednorazowej dawce 1200 mg (600/600 mg), które jak wiadomo, nie są aktywne wobec wariantu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Omicron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mogą być zastosowane w przyszłości, pod warunkiem że na danym terenie będzie dominował wariant SARS-CoV-2 wobec nich wrażliwy.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51,67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Ze względu na brak dowodów z badań klinicznych terapia skojarzona wyżej wymienionymi lekami o odmiennych mechanizmach działania nie jest zalecana.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Dowiedziono, że dołączenie GKS do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przynosi efektu, dlatego nie powinny być stosowane w tym stadium choroby, ze względu na ryzyko nasilenia lub przedłużenia replikacji wirusa. Jednak w przypadku braku poprawy klinicznej pomimo zastosowania terapii przeciwwirusowej można rozważyć dołączenie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deksametazonu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dawce dobowej 4–8 mg pod koniec 1. tygodnia trwania choroby.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57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 przypadku wysokiego prawdopodobieństwa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nadkażenia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bakteryjnego można rozważyć zastosowanie antybiotyków.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16101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Stadium 3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Pogorszenie stanu klinicznego na początku 2. tygodnia choroby z narastaniem duszności i redukcją SpO2 znacznie poniżej 90% powoduje u części chorych konieczność zastosowania 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tlenoterapii wysokoprzepływowej do 60 l/min. Może to świadczyć o rozpoczynającej się burzy cytokinowej. Stwierdzone wówczas zwiększenie stężenia IL-6 &gt;100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pg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/ml uzasadnia podanie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tocilizumabu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przeciwciała monoklonalnego skierowanego przeciw receptorowi IL-6, co istotnie zmniejsza ryzyko wentylacji mechanicznej i zgonu.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68,69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Tocilizumab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należy podawać we wlewie dożylnym trwającym 1 godzinę w pojedynczej dawce zależnej od masy ciała, ale nieprzekraczającej 800 mg (szczegóły dawkowania w tab. 1). W przypadku braku efektu kolejny wlew można podać po upływie 8–24 godzin, aczkolwiek nie udowodniono efektywności podania 2. dawki leku. Nie należy podawać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tocilizumabu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pacjentom z liczbą neutrofilów &lt;2000/µl, liczbą płytek krwi &lt;50 000µl lub aktywnością ALT przekraczającą 5-krotnie górną granicę normy.70 Zastosowanie GKS może osłabiać efekt działania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tocilizumabu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dlatego zaleca się stosowanie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deksametazonu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dożylnie w dawce 6–8 mg przez 7–10 dni dopiero wtedy, gdy nie uzyskano korzystnego efektu po podaniu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tocilizumabu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albo jeśli nie był on w ogóle stosowany.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71,72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Lekiem alternatywnym dla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tocilizumabu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 chorych zagrożonych burzą cytokinową może być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anakinra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antagonista receptora dla IL-1, w dawce 100 mg 1 raz dziennie podskórnie przez 10 dni. Stosowanie tego leku zaleca się w przypadku zwiększenia stężenia rozpuszczalnego receptora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urokinazowego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aktywatora plazminogenu (su- PAR) w osoczu do poziomu przynajmniej 6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ng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/ml. Należy zachować ostrożność u osób z nawracającymi zakażeniami i nie rozpoczynać leczenia u pacjentów z liczbą neutrofilów &lt;1500/µl.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73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Alternatywą dla antagonistów receptorów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interleukin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może być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baricytynib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podawany doustnie w dawce 4 mg dziennie do końca hospitalizacji, ale nie dłużej niż 14 dni, którego skuteczność wykazano zwłaszcza u chorych wymagających tlenoterapii wysokoprzepływowej.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74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Baricytynib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przeciwwskazany u chorych z aktywną gruźlicą i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eGFR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&lt;30 ml/min; u chorych z 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eGFR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30–60 ml/min i w wieku &gt;75 lat należy stosować dawkę zmniejszoną do 2 mg dziennie.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75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16101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Stadium 4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Pogorszenie stanu pacjenta związane z ARDS sprawia, że tlenoterapia wysokoprzepływowa staje się niewystarczająca, a chory wymaga intubacji tchawicy i wentylacji mechanicznej płuc. W tej grupie chorych udowodniono najwyższe korzyści ze stosowania GKS.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57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Obecnie zaleca się stosowane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deksametazonu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większej niż proponowano wcześniej dawce – 12 mg.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76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Wskazane jest rozważenie wczesnego zastosowania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tocilizumabu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(dawkowanie w tab. 1), zwłaszcza u chorych z wysokimi stężeniami IL-6 lub białka C-reaktywnego (CRP). Nie ma uzasadnienia do rozpoczynania lub kontynuowania leczenia przeciwwirusowego u chorych wentylowanych mechanicznie. Należy stosować wentylację oszczędzającą płuca poprzez podawanie małych objętości oddechowych, odpowiednie wartości dodatniego ciśnienia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końcowowydechowego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(PEEP), dostosowywanie zawartości podawanego tlenu w mieszaninie oddechowej do prężności tlenu we krwi tętniczej (PaO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i SaO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 niektórych pacjentów, którzy nie odpowiadają na konwencjonalne sposoby leczenia, korzystna jest wentylacja w pozycji odwróconej (tzn. na brzuchu).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77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Śmiertelność wśród pacjentów z COVID-19 wymagających wentylacji mechanicznej sięga 67%.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78</w:t>
      </w:r>
    </w:p>
    <w:p w:rsidR="0016101E" w:rsidRPr="0016101E" w:rsidRDefault="0016101E" w:rsidP="00161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Stosowanie żylno-żylnej pozaustrojowej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oksygenacji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przezbłonowej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(VV ECMO) jest wskazane tylko u wybranych chorych i powinno być ograniczone do ośrodków eksperckich posiadających odpowiednie doświadczenie i możliwości techniczne. Terapia ta może być korzystna u osób z ARDS (umiarkowanym lub ostrym) rozpoznanym przed wdrożeniem wentylacji mechanicznej, u których wentylacja mechaniczna trwała nie dłużej niż 7 dni, i u takich, u których obserwuje się ostre zaburzenia wymiany gazowej pomimo optymalnej wentylacji konwencjonalnej i nieskuteczność dodatkowych metod poprawiających </w:t>
      </w:r>
      <w:proofErr w:type="spellStart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oksygenację</w:t>
      </w:r>
      <w:proofErr w:type="spellEnd"/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(np. wentylacja w pozycji odwróconej, blokada nerwowo-mięśniowa). Jest również stosowana jako terapia pomostowa do przeszczepienia płuc. Istnieją jednak liczne przeciwwskazania do stosowania VV ECMO.</w:t>
      </w:r>
      <w:r w:rsidRPr="0016101E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79</w:t>
      </w:r>
      <w:r w:rsidRPr="001610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 tabeli 2 przedstawiono korzyści z zastosowania i przeciwwskazania do stosowania VV ECMO zatwierdzone przez grupę roboczą konsultanta krajowego w dziedzinie anestezjologii i intensywnej terapii do spraw opracowywania wytycznych i zaleceń dotyczących krytycznie chorych na COVID-19.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00C2C9"/>
            <w:vAlign w:val="center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Tabela 2. Kryteria zastosowania i przeciwwskazania do stosowania żylno-żylnej pozaustrojowej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oksygenacji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przezbłonowej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(VV ECMO) zatwierdzone przez grupę roboczą Konsultanta Krajowego w dziedzinie anestezjologii i intensywnej terapii do spraw opracowywania wytycznych i zaleceń dotyczących krytycznie chorych na COVID-19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VV ECMO ma szanse przynieść korzyści u pacjentów w ostrej fazie COVID-19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16101E" w:rsidRPr="0016101E" w:rsidRDefault="0016101E" w:rsidP="001610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spełniających kryteria rozpoznania ARDS przed wdrożeniem wentylacji inwazyjnej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wskaźnik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oksygenacji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(PaO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/FiO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≤200 mm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Hg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b) obecność obustronnych zmian miąższowych w płucach odpowiadających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niekardiogennemu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obrzękowi płuc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 bez objawów sugerujących ciężką niewydolność lewokomorową (ciśnienie zaklinowania w tętnicy płucnej &lt;18 mm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Hg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bez ciężkiego upośledzenia kurczliwości lewej komory w badaniu echokardiograficznym itd.)</w:t>
            </w:r>
          </w:p>
          <w:p w:rsidR="0016101E" w:rsidRPr="0016101E" w:rsidRDefault="0016101E" w:rsidP="001610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wentylowanych inwazyjnie przez &lt;7 dni</w:t>
            </w:r>
          </w:p>
          <w:p w:rsidR="0016101E" w:rsidRPr="0016101E" w:rsidRDefault="0016101E" w:rsidP="001610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ciężkimi zaburzeniami wymiany gazowej w trakcie trwania wentylacji inwazyjnej z optymalnymi nastawami respiratora (FiO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≥0,8, TV 6 ml/kg należnej masy ciała, PEEP ≥10 cm H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O), u których podjęto próby poprawy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oksygenacji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pomocą dostępnych w danym ośrodku metod (np. ułożenie w pozycji odwróconej (na brzuchu) na ≥12–16 godz. w ciągu doby, zastosowanie ciągłej blokady nerwowo-mięśniowej itp.):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wskaźnik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oksygenacji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(PaO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/FiO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&lt; 50 mm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Hg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&gt;3 godz.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b) wskaźnik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oksygenacji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(PaO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/FiO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&lt;80 mm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Hg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&gt;6 godz.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krwi tętniczej &lt;7,25 przy PaCO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?60 mm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Hg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częstości oddechów &lt;35/min oraz ciśnieniu plateau ≤32 cm H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VV ECMO nie przyniesie korzyści lub jest z innych względów niewskazana u następujących pacjentów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zakwalifikowanych do 3. i 4. priorytetu przyjęć na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OAiIT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zgodnie z wytycznymi Polskiego Towarzystwa Anestezjologii i Intensywnej Terapii określającymi zasady kwalifikacji oraz kryteria przyjęcia chorych na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OAiIT</w:t>
            </w:r>
            <w:proofErr w:type="spellEnd"/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wentylowanych inwazyjnie lub nieinwazyjnie ≥7 dni z FiO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&gt;0,6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których stosowano wysokoprzepływową tlenoterapię donosową ≥7 dni z FiO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&gt;0,6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masą ciała &gt;1 kg/cm wzrostu lub wskaźnikiem masy ciała &gt;40 kg/m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niewydolnością oddechową wymagającą tlenoterapii lub wentylacji nieinwazyjnej w przebiegu przewlekłej choroby płuc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wymagających wspomagania czynności innych układów i narządów poza niewydolnością oddechową, w tym: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wymagających leczenia zaostrzenia ciężkiej niewydolności serca prawo- lub 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lewokomorowej, u których należy rozważyć inny rodzaj wsparcia pozaustrojowego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b) stosowania dużych dawek jednego lub kilku leków o działaniu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inotropowym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obkurczającym naczynia: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noradrenalina &gt;0,2 µg/kg/min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adrenalina &gt;0,1 µg/kg/min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dopamina &gt;15 µg/kg/min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 przewlekłego leczenia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nerkozastępczego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d) leczenia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wątrobowozastępczego</w:t>
            </w:r>
            <w:proofErr w:type="spellEnd"/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trombocytopenią indukowaną heparyną w wywiadzie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aktywną chorobą nowotworową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małym prawdopodobieństwem przeżycia ocenionym przy użyciu skal prognostycznych (np.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SAPS-II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SOFA, APACHE)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zatrzymaniu akcji serca, u których utrzymuje się śpiączka pomimo zakończenia podaży leków zaburzających świadomość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nieodwracalnymi ubytkami neurologicznymi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potencjalnie nieodwracalnymi upośledzeniem odporności i/lub supresją szpiku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którzy podjęli wcześniejszą decyzję o niepodejmowaniu/odstąpieniu od terapii podtrzymującej życie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których występują trudności w uzyskaniu odpowiedniego dostępu naczyniowego do żył udowych lub szyjnych</w:t>
            </w:r>
          </w:p>
          <w:p w:rsidR="0016101E" w:rsidRPr="0016101E" w:rsidRDefault="0016101E" w:rsidP="00161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nasilonym zespołem kruchości (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frailty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syndrome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16101E" w:rsidRPr="0016101E" w:rsidTr="0016101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6101E" w:rsidRPr="0016101E" w:rsidRDefault="0016101E" w:rsidP="0016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ARDS – zespół ostrej niewydolności oddechowej,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OAiIT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oddział anestezjologii i intensywnej terapii, FiO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zawartość tlenu w mieszaninie oddechowej, PaCO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ciśnienie parcjalne dwutlenku węgla we krwi tętniczej, PaO</w:t>
            </w:r>
            <w:r w:rsidRPr="0016101E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pl-PL"/>
              </w:rPr>
              <w:t>2</w:t>
            </w:r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ciśnienie parcjalne tlenu we krwi tętniczej, PEEP – dodatnie ciśnienie </w:t>
            </w:r>
            <w:proofErr w:type="spellStart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końcowowydechowe</w:t>
            </w:r>
            <w:proofErr w:type="spellEnd"/>
            <w:r w:rsidRPr="0016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TV – objętość oddechowa</w:t>
            </w:r>
          </w:p>
        </w:tc>
      </w:tr>
    </w:tbl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1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Leki o niepotwierdzonej skuteczności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Od chwili pojawienia się zakażeń SARS-CoV-2, które z czasem przybrały formę pandemii, rozpoczęto badania nad wprowadzeniem terapii przeciwwirusowych i ukierunkowanych na nadmierną reakcję układu immunologicznego. Równolegle toczyły się prace nad stworzeniem leków de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novo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oraz wykorzystaniem już istniejących, zwłaszcza takich, których działanie wobec SARS-CoV-2 potwierdzono w badaniach laboratoryjnych. Do chwili obecnej skuteczność tylko nielicznych udowodniono w badaniach klinicznych z randomizacją (RCT) i/lub w badaniach obserwacyjnych. Zostały one omówione we wcześniejszych częściach niniejszego opracowania. Natomiast w odniesieniu do poniżej przedstawionych leków dotychczas nie potwierdzono skuteczności i bezpieczeństwa lub badania są w toku.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1642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Leki o potencjalnym działaniu przeciwwirusowym/</w:t>
      </w:r>
      <w:proofErr w:type="spellStart"/>
      <w:r w:rsidRPr="00D1642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przeciwinfekcyjnym</w:t>
      </w:r>
      <w:proofErr w:type="spellEnd"/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1. 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Chlorochina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 i 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hydroksychlorochina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.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Ich zasadnicze działanie wykorzystywane w medycynie to aktywność przeciwmalaryczna i immunomodulacyjna. W badaniach laboratoryjnych potwierdzono wpływ na SARS-CoV-2 poprzez alkalizację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fagolizosomu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i następcze hamowanie replikacji wirusa na etapach zależnych od pH.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80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Jednakże po analizie wyników licznych badań i danych z baz klinicznych stwierdzono, że żaden z tych leków nie zapewnia korzyści klinicznych, a w niektórych sytuacjach może wiązać się z ryzykiem powikłań kardiologicznych.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81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lastRenderedPageBreak/>
        <w:t xml:space="preserve">2. 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Azytromycyna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 lub 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doksycyklina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.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Sugerowany początkowo efekt przeciwwirusowy zarówno w 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monoterapii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jak i w połączeniu z innymi lekami, na przykład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hydroksychlorochiną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nigdy nie został potwierdzony.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82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Udowodniono natomiast brak korzyści ze stosowania tych i innych antybiotyków u pacjentów bez towarzyszącej infekcji bakteryjnej.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3. 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Lopinawir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/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rytonawir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.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Lek skuteczny w leczeniu zakażeń wirusem ludzkiego niedoboru odporności (HIV) pojawiał się w początkowych rekomendacjach terapii COVID-19 ze względu na pojedyncze doniesienia z bardzo wczesnego etapu pandemii. Ostatecznie po analizie negatywnych wyników badań klinicznych uznano, że lek jest nieskuteczny w leczeniu zakażeń SARS-CoV-2.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83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4. 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Fawipirawir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. 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Lek silnie hamujący replikację wielu wirusów RNA oceniano w licznych badaniach, niektóre z nich nie zostały jeszcze zakończone. Wstępne wyniki sugerowały, że lek może przyspieszać powrót do zdrowia po infekcji SARS-CoV-2.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84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Niestety stwierdzano także poważne działania niepożądane, ze wstrząsem anafilaktycznym włącznie. Pojawiły się też sugestie, na razie hipotetyczne, że mógłby stanowić składnik złożonej terapii przeciwwirusowej w połączeniu z molnupirawirem.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85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5. 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Umifenowir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 (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arbidol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)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jest stosowany w leczeniu grypy w Rosji i Chinach.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Metaanaliza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dotychczasowych badań wykazała brak skuteczności w terapii COVID-19.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86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6. Inne leki przeciwgrypowe i niespecyficzne leki przeciwwirusowe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. W bardzo ograniczonej liczbie badań oceniano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oseltamiwir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amantadynę,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rymantadynę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zanamiwir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i 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acyklowir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. Nie zaobserwowano korzyści z ich stosowania w COVID-19, a w przypadku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oseltamiwiru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wykazano nawet możliwość zwiększenia śmiertelności.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82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Przedstawione ostatnio wyniki realizowanego w Polsce badania klinicznego z zastosowaniem amantadyny nie wykazały jej skuteczności w porównaniu z placebo.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87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7. 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Iwermektyna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.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Istnieją pojedyncze doniesienia, że ten lek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przeciwpasożytniczy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może znamiennie zmniejszać ładunek wirusa i przyspieszać powrót do zdrowia u pacjentów z łagodnym i umiarkowanym przebiegiem COVID-19. Wykazano, że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iwermektyna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wykazuje działanie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supresyjne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na SARS-CoV-2 w hodowlach komórkowych, w stężeniach niemożliwych do osiągnięcia w organizmie człowieka ze względu na toksyczność, zwłaszcza w zakresie układu nerwowego. Ostatecznie badania kliniczne nie wykazały korzyści ze stosowania iwermetyny.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88,89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8. Kolchicyna.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Ze względu na silne działanie przeciwzapalne rozważano możliwość wykorzystania kolchicyny w zwalczaniu uogólnionej reakcji zapalnej w przebiegu COVID-19. Ostatecznie wykazano brak skuteczności w badaniach RECOVERY i COLCORONA.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90,91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9. Immunoglobulina dożylna (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IVIg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)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była stosowana jako terapia wspomagająca lub w postaci skoncentrowanej (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hiperimmunizacyjnej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). Wydaje się, że podawanie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IVIg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może być uzasadnione jedynie u pacjentów z upośledzeniem odporności, zwłaszcza przebiegającym z 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hipogammaglobulinemią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. Jak dotąd nie wykazano skuteczności swoistej immunoglobuliny anty-SARS-CoV-2, pomimo obiecujących wyników badań laboratoryjnych.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1642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Leki przeciwzapalne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lastRenderedPageBreak/>
        <w:t>1. Niesteroidowe leki przeciwzapalne.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Dane dotyczące stosowania tych leków są kontrowersyjne. Istnieją doniesienia, że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ibuprofen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blokuje proces zapalny wywołany przez SARS-CoV-2, a tym samym może zapobiegać powikłaniom COVID-19.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92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Jednak ze względu na dość dobrze poznane działania niepożądane rozsądne jest ich stosowanie w leczeniu objawowym COVID-19 w dawkach minimalnych i przez krótki czas.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 xml:space="preserve">2. Leki </w:t>
      </w:r>
      <w:proofErr w:type="spellStart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przeciwcytokinowe</w:t>
      </w:r>
      <w:proofErr w:type="spellEnd"/>
      <w:r w:rsidRPr="00D1642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.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W związku z wykazaną skutecznością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tocilizumabu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baricytynibu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i 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anakinry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kontynuowane są badania nad innymi lekami z tej grupy, takimi jak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sarilumab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i siltuksimab.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93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D16423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Profilaktyka miejscowa – płyn do płukania jamy ustnej i spray do nosa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Pojawiły się doniesienia o skuteczności płukania gardła określonymi płynami w celu unieczynnienia wirusów na powierzchni błon śluzowych gardła, co miałoby prowadzić do czasowego zmniejszenia namnażania wirusów. Antywirusowe aerozole do nosa miałyby działać poprzez powlekanie cząsteczek wirusa obecnych w jamie nosowej, co blokowałoby ich wnikanie do komórek. Podejmowane są także próby miejscowego stosowania niklozamidu.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94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Do potwierdzenia ewentualnej skuteczności tych metod konieczne jest przeprowadzenie badań klinicznych.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1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Późne następstwa COVID-19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Określenie „zespół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pokowidowy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” (ang. </w:t>
      </w:r>
      <w:r w:rsidRPr="00D16423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pl-PL"/>
        </w:rPr>
        <w:t xml:space="preserve">post- -COVID-19, </w:t>
      </w:r>
      <w:proofErr w:type="spellStart"/>
      <w:r w:rsidRPr="00D16423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pl-PL"/>
        </w:rPr>
        <w:t>long-COVID</w:t>
      </w:r>
      <w:proofErr w:type="spellEnd"/>
      <w:r w:rsidRPr="00D16423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pl-PL"/>
        </w:rPr>
        <w:t>)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odnosi się do objawów lub zaburzeń funkcji narządów utrzymujących się ≥4 tygodnie po ostrej fazie COVID-19.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95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W październiku 2021 roku WHO opublikowała definicję przypadku </w:t>
      </w:r>
      <w:r w:rsidRPr="00D16423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pl-PL"/>
        </w:rPr>
        <w:t>post COVID-19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która wskazuje, że zespół ten można rozpoznać u chorych z prawdopodobnym lub potwierdzonym zakażeniem SARS-CoV-2, jego objawy występują zwykle po upływie 3 miesięcy od wystąpienia COVID-19, trwają ≥2 miesiące i nie są związane z inną diagnozą. 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96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Jak wskazuje data definicji przypadku, jest to nowe schorzenie, a jego epidemiologia, obraz kliniczny i zalecenia terapeutyczne nie zostały jednoznacznie określone.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Częstość występowania zespołu waha się od 30% do 80% i zależy od metodologii badania.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97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Najczęściej obserwowane są następstwa płucne (duszność, hipoksemia, upośledzenie zdolności dyfuzji gazów, przetrwałe zmiany zapalne i/lub zwłóknienie płuc stwierdzane w tomografii komputerowej), hematologiczne (incydenty zakrzepowo-zatorowe, niedokrwistość), sercowo-naczyniowe (kołatanie serca, duszność, ból w klatce piersiowej, arytmie, włóknienie/bliznowacenie mięśnia sercowego), neuropsychiatryczne (przewlekłe zmęczenie, ból mięśni, ból głowy, zaburzenia węchu/smaku, lęk, depresja, zaburzenia snu i zespół stresu pourazowego). Po upływie 3–6 miesięcy od fazy ostrej COVID-19 obserwuje się również liczne nieprawidłowości w badaniach laboratoryjnych, w tym zmiany w morfologii krwi obwodowej, zmniejszenie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eGFR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zwiększone wartości w wynikach testów czynnościowych wątroby oraz hiperglikemię, choć ich znaczenie kliniczne pozostaje niepewne.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97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Pediatryczny wieloukładowy zespół zapalny (PIMS/ MIS-C) jest odrębnym stanem ujawniającym się po COVID-19 u dzieci i młodych dorosłych spełniających określone kryteria diagnostyczne.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98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Wyniki polskiego badania prospektywnego SILCOV-19 (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The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Silesian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Complications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of COVID-19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Database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) pokazują, że najczęściej występującymi objawami zespołu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lastRenderedPageBreak/>
        <w:t>pokowidowego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są zmęczenie, duszność, kołatania serca oraz zaburzenia węchu i smaku.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99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W tym samym badaniu w ponad 100 dni od fazy ostrej stwierdzano liczne nieprawidłowości w wynikach badań pomocniczych, m.in.: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utrzymywanie się zmian zapalnych w tomografii komputerowej o wysokiej rozdzielczości – u 9% chorych niehospitalizowanych i 40% chorych hospitalizowanych w fazie ostrej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SpO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&lt;95% – u 10% niehospitalizowanych i 18% hospitalizowanych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transfer płucny dla tlenku węgla &lt;80% – u 28% niehospitalizowanych i 49% hospitalizowanych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epizody bradykardii &lt;40/min w badaniu holterowskim – u 17% niehospitalizowanych i 6% hospitalizowanych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występowanie lęku (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HADS-A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&gt;10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pkt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) – u 9–11%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bezsenność (AIS &gt;10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pkt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) – u 17–27%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zwiększoną aktywność ALT – u 11–18%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zwiększoną aktywność dehydrogenazy mleczanowej – u 44–54%</w:t>
      </w:r>
    </w:p>
    <w:p w:rsidR="00D16423" w:rsidRPr="00D16423" w:rsidRDefault="00D16423" w:rsidP="00D16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zwiększone stężenie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dimeru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D – u 10% i 17%.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99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Z pracy tej oraz innych doniesień jednoznacznie wynika, że większe ryzyko zespołu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pokowidowego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dotyczy osób hospitalizowanych w fazie ostrej (szczególnie na OIT), z 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wielochorobowością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starszych oraz kobiet.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Nie ma danych uzasadniających zalecenie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rytunowego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wykonywania badań przesiewowych u osób bez objawów. Diagnostyka powinna być ukierunkowana na zgłaszane dolegliwości. Za szczególnie istotne i wymagające pilnej diagnostyki uważa się: gwałtowną lub nasilającą się duszność, omdlenia, ból w klatce piersiowej i kołatania serca oraz zaburzenia świadomości i ogniskowe objawy neurologiczne.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100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Kluczowe znaczenie ma edukacja chorych, w szczególności w zakresie objawów zespołu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pokowidowego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oraz potrzeby ich monitorowania w domu (np. SpO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tętno, ciśnienie tętnicze). W przypadku chorych hospitalizowanych z powodu umiarkowanego lub ciężkiego COVID-19 zaleca się wczesną, rutynową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teleporadę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która poza zaleceniami samoobserwacji obejmie również zalecenie rehabilitacji oddechowej, lekkiego wysiłku fizycznego (intensywny jest przeciwwskazany przez 6–8 tyg.), intensywnego żywienia w przypadku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sarkopenii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oraz ewentualnie oceny psychologicznej.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Obiektywnymi metodami oceny choroby płuc są: skala duszności Borga,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pulsoksymetria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domowa, test 6-minutowego marszu (6MWT), badanie radiologiczne klatki piersiowej, badania czynnościowe płuc oraz ewentualnie tomografia komputerowa klatki piersiowej (nie wcześniej niż 3 mies. po COVID-19). W przypadku objawów kardiologicznych zaleca się 24-godzinne monitorowanie metodą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Holtera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i echokardiografię, w wybranych przypadkach rezonans magnetyczny serca lub angiografię naczyń wieńcowych metodą tomografii komputerowej. Niektórzy zalecają także rutynowe badania przesiewowe w kierunku lęku, depresji i zaburzeń snu. Potrzeba badań laboratoryjnych zależy od nieprawidłowości, jakie występowały podczas hospitalizacji. Ważne jest wykonywanie badań kontrolnych u pacjentów z ostrym uszkodzeniem nerek lub wątroby, po przebytym incydencie zakrzepowo-zatorowym, z przewlekłymi zaburzeniami sercowo-naczyniowymi, płucnymi, wątrobowymi lub metabolicznymi. Obecnie nie ma zaleceń co do rutynowej oceny parametrów krzepnięcia po COVID-19.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W rekonwalescencji po COVID-19 ważną rolę odgrywają odpoczynek, relaks i rehabilitacja oddechowa. Nie ma dowodów na celowość stosowania rutynowej 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lastRenderedPageBreak/>
        <w:t>profilaktyki przeciwzakrzepowej, chociaż chorzy z grup wysokiego ryzyka mogą wymagać stosowania leków przeciwkrzepliwych nawet do 30 dni po wypisie ze szpitala (tab. 3).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101,102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Preferowane są bezpośrednio działające doustne leki przeciwkrzepliwe (NOAC) i 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HDCz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zamiast antagonistów witaminy K. Znaczenie leków przeciwpłytkowych w zespole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pokowidowym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nie zostało określone. Leczenie późnych następstw COVID-19 powinno się opierać na ogólnych zaleceniach. Podkreśla się, że wczesne wprowadzenie leków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przeciwlękowych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i przeciwdepresyjnych poprawia rokowanie. Korzyści ze stosowania GKS lub leków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przeciwwłóknieniowych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u osób z utrzymującymi się zmianami zapalnymi lub włóknistymi płuc po COVID-19 nie zostały potwierdzone. Wskazuje się na celowość włączenia osób po umiarkowanym i ciężkim COVID-19 do badań prospektywnych oceniających zespół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pokowidowy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co pozwoli lepiej poznać patogenezę i optymalizować postępowanie terapeutyczne.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7"/>
        <w:gridCol w:w="1895"/>
      </w:tblGrid>
      <w:tr w:rsidR="00D16423" w:rsidRPr="00D16423" w:rsidTr="00D16423">
        <w:trPr>
          <w:tblCellSpacing w:w="15" w:type="dxa"/>
        </w:trPr>
        <w:tc>
          <w:tcPr>
            <w:tcW w:w="0" w:type="auto"/>
            <w:gridSpan w:val="2"/>
            <w:shd w:val="clear" w:color="auto" w:fill="00C2C9"/>
            <w:vAlign w:val="center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Tabela. 3. Model oceny ryzyka zakrzepowo-zatorowego IMPROVE VTE wskazujący na potrzebę stosowania profilaktycznego leczenia przeciwkrzepliwego u chorego na COVID-19 po wypisie ze szpitala</w:t>
            </w:r>
            <w:r w:rsidRPr="00D1642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vertAlign w:val="superscript"/>
                <w:lang w:eastAsia="pl-PL"/>
              </w:rPr>
              <w:t>101</w:t>
            </w:r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Czynniki ryzyka</w:t>
            </w:r>
          </w:p>
        </w:tc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  <w:r w:rsidRPr="00D164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a</w:t>
            </w:r>
            <w:proofErr w:type="spellEnd"/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przebyta żylna choroba zakrzepowo-zatorowa</w:t>
            </w:r>
          </w:p>
        </w:tc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rozpoznana </w:t>
            </w:r>
            <w:proofErr w:type="spellStart"/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trombofilia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niedowład kończyn dolnych</w:t>
            </w:r>
          </w:p>
        </w:tc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aktywna choroba nowotworowa</w:t>
            </w:r>
          </w:p>
        </w:tc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unieruchomienie ≥7 dni</w:t>
            </w:r>
          </w:p>
        </w:tc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przebywanie na oddziale intensywnej lub kardiologicznej terapii</w:t>
            </w:r>
          </w:p>
        </w:tc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&gt;60 lat</w:t>
            </w:r>
          </w:p>
        </w:tc>
        <w:tc>
          <w:tcPr>
            <w:tcW w:w="0" w:type="auto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16423" w:rsidRPr="00D16423" w:rsidTr="00D1642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D16423" w:rsidRPr="00D16423" w:rsidRDefault="00D16423" w:rsidP="00D1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42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a</w:t>
            </w:r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suma ≥2 </w:t>
            </w:r>
            <w:proofErr w:type="spellStart"/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D16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wskazuje na potrzebę profilaktyki</w:t>
            </w:r>
          </w:p>
        </w:tc>
      </w:tr>
    </w:tbl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1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Szczepienia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Szczepienia pozostają najskuteczniejszym sposobem zapobiegania zakażeniu SARS-CoV-2 i należy je traktować jako pierwszą linię zapobiegania COVID-19. W grudniu 2020 roku Europejska Agencja Leków (EMA) udzieliła tymczasowej autoryzacji do stosowania pierwszej szczepionki przeciwko COVID-19.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103,104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Obecnie dostępne szczepionki zostały skonstruowane z wykorzystaniem technologii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mRNA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wektorowej oraz rekombinacji. Niezależnie od zastosowanej technologii wszystkie zatwierdzone przez EMA szczepionki przeciwko COVID-19 spełniają rygorystyczne kryteria skuteczności i bezpieczeństwa, gdy są stosowane zgodnie z ChPL.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104-108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Szczepienie nie eliminuje ryzyka zakażenia, ale znacząco zmniejsza prawdopodobieństwo ciężkiego lub śmiertelnego przebiegu choroby.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109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Zaleca się jak najszybsze szczepienie przeciwko COVID-19 wszystkim, którzy się do niego kwalifikują. Szczepionki przeciwko COVID-19 zapobiegają poważnym skutkom COVID-19, w tym ciężkiej chorobie, hospitalizacji i śmierci. Schemat szczepienia obejmuje szczepienie podstawowe (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ChPL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określa liczbę dawek i odstępy czasowe między dawkami) oraz dawkę przypominającą. Osoby z zaburzeniami odporności powinny otrzymać dodatkową dawkę szczepionki co najmniej 28 dni po drugiej dawce, czyli zostać zaszczepione 3 dawkami w schemacie podstawowym oraz dawką przypominającą (łącznie 4 dawki szczepionki, preferowane są szczepionki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mRNA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).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110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Dodatkowa dawka podstawowa szczepionki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mRNA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przeciwko COVID-19 ma na celu poprawę odpowiedzi u osób z obniżoną odpornością. Dawka przypominająca szczepionki przeciwko COVID-19 jest zalecana wszystkim osobom po upływie ≥5 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lastRenderedPageBreak/>
        <w:t xml:space="preserve">miesięcy od zakończenia szczepienia podstawowego szczepionką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mRNA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(Pfizer/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BioNTech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lub Moderna) lub wektorową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Vaxzevria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AstraZeneca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) i ≥2 miesięcy po otrzymaniu dawki podstawowej szczepionki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Janssen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COVID-19. Jako dawkę przypominającą stosuje się szczepionkę podawaną w podstawowym schemacie szczepienia lub, z zachowaniem kolejności szczepienia, schemat podstawowy szczepionką wektorową i dawkę przypominającą szczepionki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mRNA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. Poniżej w punktach przedstawiono wybrane zagadnienia związane ze szczepieniem: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zaleca się wykonywania badań serologicznych w celu oceny odpowiedzi na szczepienie przed podaniem dawki dodatkowej oraz przypominającej.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 przypadku opóźnienia podania kolejnej dawki podaje się ją w pierwszym możliwym terminie. Nie przewiduje się rozpoczynania schematu szczepienia od początku.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Osoby po przebytym COVID-19 (ozdrowieńców) można szczepić po upływie 30 dni od dodatniego wyniku testu genetycznego lub antygenowego w kierunku SARS-CoV-2. Wskazanie to dotyczy również osób, które zachorowały lub miały dodatni wynik testu na obecność wirusa SARS-CoV-2 po otrzymaniu pierwszej dawki szczepionki.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Optymalny czas szczepienia u pacjentów zakwalifikowanych do leczenia immunosupresyjnego, biologicznego lub poddawanych takiemu leczeniu powinien być zgodny z aktualnymi wytycznymi specjalistycznymi.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Należy rozważyć ponowne szczepienie szczepionką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mRNA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po upływie 2–6 miesięcy po autologicznym i alogenicznym przeszczepieniu komórek krwiotwórczych (HSCT) oraz po upływie 3–6 miesięcy po terapii CART.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Ze względu na ryzyko wynaczynienia i krwawienia należy zachować szczególną ostrożność podczas podawania szczepionki pacjentom z ciężkimi zaburzeniami krzepnięcia. Wskazane jest wyrównanie ewentualnych niedoborów przed szczepieniem i uciśnięcie miejsca wstrzyknięcia szczepionki.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Kobiety ciężarne z COVID-19 mogą być bardziej narażone na powikłania ciąży, takie jak poród przedwczesny, w porównaniu z kobietami ciężarnymi bez COVID-19.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111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 Coraz więcej danych potwierdza bezpieczeństwo i skuteczność szczepienia przeciwko COVID-19 podczas ciąży. Dane te sugerują, że korzyści z otrzymania szczepionki przeciw COVID-19 przewyższają wszelkie znane lub potencjalne zagrożenia związane ze szczepieniem w czasie ciąży. Co więcej, wykazano, że ukończenie szczepienia podstawowego (2 dawki szczepionki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mRNA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) podczas ciąży może zapobiegać hospitalizacji z powodu COVID-19 u niemowląt do 6. miesiąca życia.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104,112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Szczepienie przeciwko COVID-19 jest zalecane kobietom, które są w ciąży, karmią piersią, starają się zajść w ciążę lub mogą zajść w ciążę w przyszłości. Kobiety w ciąży powinny otrzymać dawkę przypominającą szczepionki przeciwko COVID-19. Wskazane jest poinformowanie kobiety ciężarnej o niewielkiej liczbie badań dotyczących wpływu szczepienia przeciwko SARS-CoV-2 na rozwój płodu.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Laktacja nie jest przeciwwskazaniem do szczepienia przeciwko SARS-CoV-2. Szczepienie przeciwko COVID-19 jest zalecane kobietom karmiącym piersią. Amerykańskie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Centers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for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Disease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Control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and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Prevention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(CDC) zalecają, aby kobiety ciężarne lub karmiące otrzymywały szczepionki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mRNA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. Ze względu na małą liczbę badań w tej grupie decyzja o zaszczepieniu powinna być podjęta indywidualnie przez kobietę ciężarną lub karmiącą i potwierdzona pisemną świadomą zgodą na poddanie się szczepieniu.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ma konieczności zachowania jakiegokolwiek odstępu pomiędzy szczepieniami, jednak zaleca się zachowanie odstępu 4 tygodni między szczepieniem przeciwko COVID-19 a szczepieniem preparatem zawierającym żywe drobnoustroje.</w:t>
      </w:r>
    </w:p>
    <w:p w:rsidR="00D16423" w:rsidRPr="00D16423" w:rsidRDefault="00D16423" w:rsidP="00D16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lastRenderedPageBreak/>
        <w:t>Przeciwwskazaniem do szczepienia przeciwko COVID-19 jest nadwrażliwość na substancję czynną lub na którąkolwiek substancję pomocniczą zawartą w szczepionce, a także przebycie jakiejkolwiek reakcji anafilaktycznej w przeszłości. Warunkowo dopuszcza się szczepienie takiej osoby przy pełnym zabezpieczeniu przeciwwstrząsowym w warunkach szpitalnych, po uprzednim poinformowaniu o możliwym zagrożeniu i uzyskaniu pisemnej świadomej zgody na szczepienie. Przeciwwskazaniem do szczepienia przeciwko COVID-19 nie są choroby przewlekłe (w tym nowotworowe) ani stosowane terapie (w tym immunosupresyjna). Szczepienie nie jest natomiast wskazane w przebiegu chorób przebiegających z gorączką oraz w okresie zaostrzenia choroby przewlekłej.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1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Profilaktyka </w:t>
      </w:r>
      <w:proofErr w:type="spellStart"/>
      <w:r w:rsidRPr="00D164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przedekspozycyjna</w:t>
      </w:r>
      <w:proofErr w:type="spellEnd"/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W profilaktyce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przedekspozycyjnej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PrEP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) SARS-CoV-2 u dorosłych i młodzieży (≥12 lat i masie ciała ≥40 kg), u których nie występuje zakażenie SARS-CoV-2 i którzy nie byli ostatnio narażeni na kontakt z osobą zakażoną SARS-CoV-2 oraz mają umiarkowaną lub poważnie obniżoną odporność i mogą mieć niewystarczającą odpowiedź immunologiczną na szczepienie przeciwko COVID-19 lub nie mogą przyjąć żadnej dostępnej szczepionki przeciw COVID-19, należy rozważyć zastosowanie przeciwciał monoklonalnych, takich jak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tiksagewimab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/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cylgawimab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Evusheld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).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PrEP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należy rozważyć zwłaszcza u osób, które są szczególnie zagrożone ciężkim przebiegiem COVID-19. Lek jest podawany we wstrzyknięciach domięśniowych i wykazuje aktywność neutralizującą wobec wariantu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Omicron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SARS-CoV-2.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113</w:t>
      </w: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Tiksagewimab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/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cylgawimab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aktualnie jest zarejestrowany tymczasowo w USA (w trakcie rejestracji europejskiej), nie zastępuje szczepionki przeciw COVID-19 i nie należy go stosować u osób bez przeciwwskazań do szczepienia, u których spodziewana jest odpowiednia odpowiedź poszczepienna.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114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Stosowanie w ramach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PrEP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innych przeciwciał monoklonalnych, takich jak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bamlaniwimab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/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etesewimab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lub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kaziriwimab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/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imdewimab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aktualnie nie jest uzasadnione ze względu na dominację wariantu </w:t>
      </w:r>
      <w:proofErr w:type="spellStart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Omicron</w:t>
      </w:r>
      <w:proofErr w:type="spellEnd"/>
      <w:r w:rsidRPr="00D1642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SARS-CoV-2, który nie jest neutralizowany przez te przeciwciała.</w:t>
      </w:r>
      <w:r w:rsidRPr="00D1642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113</w:t>
      </w:r>
    </w:p>
    <w:p w:rsidR="00D16423" w:rsidRPr="00D16423" w:rsidRDefault="00D16423" w:rsidP="00D164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</w:p>
    <w:p w:rsidR="00870E59" w:rsidRDefault="00870E59"/>
    <w:sectPr w:rsidR="00870E59" w:rsidSect="0087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8DE"/>
    <w:multiLevelType w:val="multilevel"/>
    <w:tmpl w:val="93F4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173A"/>
    <w:multiLevelType w:val="multilevel"/>
    <w:tmpl w:val="7E64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38C5"/>
    <w:multiLevelType w:val="multilevel"/>
    <w:tmpl w:val="405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E6A4A"/>
    <w:multiLevelType w:val="multilevel"/>
    <w:tmpl w:val="DB88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F3959"/>
    <w:multiLevelType w:val="multilevel"/>
    <w:tmpl w:val="BB1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01E"/>
    <w:rsid w:val="0016101E"/>
    <w:rsid w:val="0039483E"/>
    <w:rsid w:val="005E2284"/>
    <w:rsid w:val="00870E59"/>
    <w:rsid w:val="009061E0"/>
    <w:rsid w:val="00A128F6"/>
    <w:rsid w:val="00D1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59"/>
  </w:style>
  <w:style w:type="paragraph" w:styleId="Nagwek2">
    <w:name w:val="heading 2"/>
    <w:basedOn w:val="Normalny"/>
    <w:link w:val="Nagwek2Znak"/>
    <w:uiPriority w:val="9"/>
    <w:qFormat/>
    <w:rsid w:val="0016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61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1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610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0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6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9708</Words>
  <Characters>58254</Characters>
  <Application>Microsoft Office Word</Application>
  <DocSecurity>0</DocSecurity>
  <Lines>485</Lines>
  <Paragraphs>135</Paragraphs>
  <ScaleCrop>false</ScaleCrop>
  <Company/>
  <LinksUpToDate>false</LinksUpToDate>
  <CharactersWithSpaces>67827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uzytkownik</cp:lastModifiedBy>
  <cp:revision>2</cp:revision>
  <dcterms:created xsi:type="dcterms:W3CDTF">2022-03-31T09:09:00Z</dcterms:created>
  <dcterms:modified xsi:type="dcterms:W3CDTF">2022-03-31T09:09:00Z</dcterms:modified>
</cp:coreProperties>
</file>